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  <w:jc w:val="center"/>
      </w:pPr>
      <w:r>
        <w:rPr>
          <w:rFonts w:ascii="Arial" w:hAnsi="Arial" w:eastAsia="Arial"/>
          <w:b/>
          <w:sz w:val="30"/>
        </w:rPr>
        <w:t>ЧЕКЛІСТ АДМІНІСТРАЦІЇ ШКОЛИ</w:t>
      </w:r>
    </w:p>
    <w:p>
      <w:pPr>
        <w:spacing w:before="0" w:after="140" w:line="240" w:lineRule="auto"/>
        <w:jc w:val="center"/>
      </w:pPr>
      <w:r>
        <w:rPr>
          <w:rFonts w:ascii="Arial" w:hAnsi="Arial" w:eastAsia="Arial"/>
          <w:b/>
          <w:sz w:val="24"/>
        </w:rPr>
        <w:t>Атестаційна комісія: вересень–жовтень 2026 року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66"/>
      </w:tblGrid>
      <w:tr>
        <w:tc>
          <w:tcPr>
            <w:tcW w:type="dxa" w:w="10766"/>
            <w:shd w:fill="EAF2F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8"/>
              </w:rPr>
              <w:t>Нормативна основа: Положення про атестацію педагогічних працівників, наказ МОН №805, чинна редакція від 24.04.2026. Це робочий чекліст, а не форма, затверджена МОН.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427"/>
        <w:gridCol w:w="454"/>
      </w:tblGrid>
      <w:tr>
        <w:trPr>
          <w:tblHeader w:val="true"/>
        </w:trPr>
        <w:tc>
          <w:tcPr>
            <w:tcW w:type="dxa" w:w="3589"/>
            <w:shd w:fill="D9EAF7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9"/>
              </w:rPr>
              <w:t>Строк</w:t>
            </w:r>
          </w:p>
        </w:tc>
        <w:tc>
          <w:tcPr>
            <w:tcW w:type="dxa" w:w="3589"/>
            <w:shd w:fill="D9EAF7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9"/>
              </w:rPr>
              <w:t>Що перевірити / зробити</w:t>
            </w:r>
          </w:p>
        </w:tc>
        <w:tc>
          <w:tcPr>
            <w:tcW w:type="dxa" w:w="3589"/>
            <w:shd w:fill="D9EAF7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9"/>
              </w:rPr>
              <w:t>✓</w:t>
            </w:r>
          </w:p>
        </w:tc>
      </w:tr>
      <w:tr>
        <w:tc>
          <w:tcPr>
            <w:tcW w:type="dxa" w:w="181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До 20 вересня</w:t>
            </w:r>
          </w:p>
        </w:tc>
        <w:tc>
          <w:tcPr>
            <w:tcW w:type="dxa" w:w="74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Перевірити кількість педагогічних працівників у трудових відносинах із закладом. Власна комісія I рівня створюється, якщо їх 15 і більше.</w:t>
            </w:r>
          </w:p>
        </w:tc>
        <w:tc>
          <w:tcPr>
            <w:tcW w:type="dxa" w:w="45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☐</w:t>
            </w:r>
          </w:p>
        </w:tc>
      </w:tr>
      <w:tr>
        <w:tc>
          <w:tcPr>
            <w:tcW w:type="dxa" w:w="181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До 20 вересня</w:t>
            </w:r>
          </w:p>
        </w:tc>
        <w:tc>
          <w:tcPr>
            <w:tcW w:type="dxa" w:w="74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Видати наказ про створення атестаційної комісії I рівня.</w:t>
            </w:r>
          </w:p>
        </w:tc>
        <w:tc>
          <w:tcPr>
            <w:tcW w:type="dxa" w:w="45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☐</w:t>
            </w:r>
          </w:p>
        </w:tc>
      </w:tr>
      <w:tr>
        <w:tc>
          <w:tcPr>
            <w:tcW w:type="dxa" w:w="181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До 20 вересня</w:t>
            </w:r>
          </w:p>
        </w:tc>
        <w:tc>
          <w:tcPr>
            <w:tcW w:type="dxa" w:w="74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Визначити персональний склад: не менше 5 осіб; призначити голову та секретаря.</w:t>
            </w:r>
          </w:p>
        </w:tc>
        <w:tc>
          <w:tcPr>
            <w:tcW w:type="dxa" w:w="45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☐</w:t>
            </w:r>
          </w:p>
        </w:tc>
      </w:tr>
      <w:tr>
        <w:tc>
          <w:tcPr>
            <w:tcW w:type="dxa" w:w="181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До 20 вересня</w:t>
            </w:r>
          </w:p>
        </w:tc>
        <w:tc>
          <w:tcPr>
            <w:tcW w:type="dxa" w:w="74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Перевірити можливий конфлікт інтересів; за наявності подання профспілки врахувати представників (за згодою, не більше 2 осіб).</w:t>
            </w:r>
          </w:p>
        </w:tc>
        <w:tc>
          <w:tcPr>
            <w:tcW w:type="dxa" w:w="45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☐</w:t>
            </w:r>
          </w:p>
        </w:tc>
      </w:tr>
      <w:tr>
        <w:tc>
          <w:tcPr>
            <w:tcW w:type="dxa" w:w="181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До 5 робочих днів після рішення</w:t>
            </w:r>
          </w:p>
        </w:tc>
        <w:tc>
          <w:tcPr>
            <w:tcW w:type="dxa" w:w="74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Оприлюднити персональний склад атестаційної комісії на вебсайті закладу або засновника.</w:t>
            </w:r>
          </w:p>
        </w:tc>
        <w:tc>
          <w:tcPr>
            <w:tcW w:type="dxa" w:w="45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☐</w:t>
            </w:r>
          </w:p>
        </w:tc>
      </w:tr>
      <w:tr>
        <w:tc>
          <w:tcPr>
            <w:tcW w:type="dxa" w:w="181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До 1 жовтня</w:t>
            </w:r>
          </w:p>
        </w:tc>
        <w:tc>
          <w:tcPr>
            <w:tcW w:type="dxa" w:w="74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Якщо у закладі менше 15 педагогів — керівнику передати список працівників на чергову атестацію комісії відповідного рівня.</w:t>
            </w:r>
          </w:p>
        </w:tc>
        <w:tc>
          <w:tcPr>
            <w:tcW w:type="dxa" w:w="45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☐</w:t>
            </w:r>
          </w:p>
        </w:tc>
      </w:tr>
      <w:tr>
        <w:tc>
          <w:tcPr>
            <w:tcW w:type="dxa" w:w="181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До 20 жовтня</w:t>
            </w:r>
          </w:p>
        </w:tc>
        <w:tc>
          <w:tcPr>
            <w:tcW w:type="dxa" w:w="74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Скласти та затвердити список педагогів на чергову атестацію, строки атестації та графік засідань.</w:t>
            </w:r>
          </w:p>
        </w:tc>
        <w:tc>
          <w:tcPr>
            <w:tcW w:type="dxa" w:w="45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☐</w:t>
            </w:r>
          </w:p>
        </w:tc>
      </w:tr>
      <w:tr>
        <w:tc>
          <w:tcPr>
            <w:tcW w:type="dxa" w:w="181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До 20 жовтня</w:t>
            </w:r>
          </w:p>
        </w:tc>
        <w:tc>
          <w:tcPr>
            <w:tcW w:type="dxa" w:w="74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Визначити строк і адресу електронної пошти для подання педагогами документів.</w:t>
            </w:r>
          </w:p>
        </w:tc>
        <w:tc>
          <w:tcPr>
            <w:tcW w:type="dxa" w:w="45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☐</w:t>
            </w:r>
          </w:p>
        </w:tc>
      </w:tr>
      <w:tr>
        <w:tc>
          <w:tcPr>
            <w:tcW w:type="dxa" w:w="181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До 5 робочих днів після рішення</w:t>
            </w:r>
          </w:p>
        </w:tc>
        <w:tc>
          <w:tcPr>
            <w:tcW w:type="dxa" w:w="74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Оприлюднити: список і строки атестації; графік засідань; строки та email для документів; перелік документів, обов’язкових для атестації.</w:t>
            </w:r>
          </w:p>
        </w:tc>
        <w:tc>
          <w:tcPr>
            <w:tcW w:type="dxa" w:w="45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☐</w:t>
            </w:r>
          </w:p>
        </w:tc>
      </w:tr>
      <w:tr>
        <w:tc>
          <w:tcPr>
            <w:tcW w:type="dxa" w:w="181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10 робочих днів після оприлюднення</w:t>
            </w:r>
          </w:p>
        </w:tc>
        <w:tc>
          <w:tcPr>
            <w:tcW w:type="dxa" w:w="74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Приймати додаткові документи від педагогів, які вони бажають подати на підтвердження професійних досягнень.</w:t>
            </w:r>
          </w:p>
        </w:tc>
        <w:tc>
          <w:tcPr>
            <w:tcW w:type="dxa" w:w="454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☐</w:t>
            </w:r>
          </w:p>
        </w:tc>
      </w:tr>
    </w:tbl>
    <w:p>
      <w:pPr>
        <w:spacing w:before="100" w:after="40" w:line="240" w:lineRule="auto"/>
      </w:pPr>
      <w:r>
        <w:rPr>
          <w:rFonts w:ascii="Arial" w:hAnsi="Arial" w:eastAsia="Arial"/>
          <w:b/>
          <w:sz w:val="21"/>
        </w:rPr>
        <w:t>Не забути</w:t>
      </w:r>
    </w:p>
    <w:p>
      <w:pPr>
        <w:spacing w:before="0" w:after="20" w:line="240" w:lineRule="auto"/>
        <w:ind w:left="255" w:hanging="198"/>
      </w:pPr>
      <w:r>
        <w:rPr>
          <w:rFonts w:ascii="Arial" w:hAnsi="Arial" w:eastAsia="Arial"/>
          <w:b/>
          <w:sz w:val="17"/>
        </w:rPr>
        <w:t xml:space="preserve">• </w:t>
      </w:r>
      <w:r>
        <w:rPr>
          <w:rFonts w:ascii="Arial" w:hAnsi="Arial" w:eastAsia="Arial"/>
          <w:sz w:val="17"/>
        </w:rPr>
        <w:t>Документи, що вже зберігаються в особовій справі у суб’єкта створення комісії, повторно не подаються.</w:t>
      </w:r>
    </w:p>
    <w:p>
      <w:pPr>
        <w:spacing w:before="0" w:after="20" w:line="240" w:lineRule="auto"/>
        <w:ind w:left="255" w:hanging="198"/>
      </w:pPr>
      <w:r>
        <w:rPr>
          <w:rFonts w:ascii="Arial" w:hAnsi="Arial" w:eastAsia="Arial"/>
          <w:b/>
          <w:sz w:val="17"/>
        </w:rPr>
        <w:t xml:space="preserve">• </w:t>
      </w:r>
      <w:r>
        <w:rPr>
          <w:rFonts w:ascii="Arial" w:hAnsi="Arial" w:eastAsia="Arial"/>
          <w:sz w:val="17"/>
        </w:rPr>
        <w:t>Електронні документи подаються у форматі PDF, кожен документ — окремим файлом; секретар реєструє отримані документи.</w:t>
      </w:r>
    </w:p>
    <w:p>
      <w:pPr>
        <w:spacing w:before="0" w:after="20" w:line="240" w:lineRule="auto"/>
        <w:ind w:left="255" w:hanging="198"/>
      </w:pPr>
      <w:r>
        <w:rPr>
          <w:rFonts w:ascii="Arial" w:hAnsi="Arial" w:eastAsia="Arial"/>
          <w:b/>
          <w:sz w:val="17"/>
        </w:rPr>
        <w:t xml:space="preserve">• </w:t>
      </w:r>
      <w:r>
        <w:rPr>
          <w:rFonts w:ascii="Arial" w:hAnsi="Arial" w:eastAsia="Arial"/>
          <w:sz w:val="17"/>
        </w:rPr>
        <w:t>Офіційні форми протоколу та атестаційного листа наведені у додатках 2 і 3 до Положення №805.</w:t>
      </w:r>
    </w:p>
    <w:sectPr w:rsidR="00FC693F" w:rsidRPr="0006063C" w:rsidSect="00034616">
      <w:footerReference w:type="default" r:id="rId9"/>
      <w:pgSz w:w="12240" w:h="15840"/>
      <w:pgMar w:top="680" w:right="737" w:bottom="624" w:left="737" w:header="720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Arial" w:hAnsi="Arial" w:eastAsia="Arial"/>
        <w:color w:val="646464"/>
        <w:sz w:val="15"/>
      </w:rPr>
      <w:t xml:space="preserve">Джерело: Положення про атестацію педагогічних працівників, наказ МОН №805 — </w:t>
    </w:r>
    <w:hyperlink r:id="rId1">
      <w:r>
        <w:rPr>
          <w:rFonts w:ascii="Arial" w:hAnsi="Arial"/>
          <w:color w:val="0563C1"/>
          <w:u w:val="single"/>
          <w:sz w:val="14"/>
        </w:rPr>
        <w:t>zakon.rada.gov.ua/go/z1649-22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zakon.rada.gov.ua/go/z1649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