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  <w:ind w:left="0" w:firstLine="0"/>
        <w:jc w:val="center"/>
      </w:pPr>
      <w:r>
        <w:rPr>
          <w:rFonts w:ascii="Times New Roman" w:hAnsi="Times New Roman"/>
          <w:b/>
          <w:i w:val="0"/>
          <w:color w:val="464646"/>
          <w:sz w:val="28"/>
        </w:rPr>
        <w:t>[ПОВНА НАЗВА ЗАКЛАДУ ЗАГАЛЬНОЇ СЕРЕДНЬОЇ ОСВІТИ]</w:t>
      </w:r>
    </w:p>
    <w:p>
      <w:pPr>
        <w:spacing w:before="200" w:after="160" w:line="240" w:lineRule="auto"/>
        <w:ind w:left="0" w:firstLine="0"/>
        <w:jc w:val="center"/>
      </w:pPr>
      <w:r>
        <w:rPr>
          <w:rFonts w:ascii="Times New Roman" w:hAnsi="Times New Roman"/>
          <w:b/>
          <w:i w:val="0"/>
          <w:sz w:val="32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/>
                <w:color w:val="505050"/>
                <w:sz w:val="28"/>
              </w:rPr>
              <w:t>[дата] 2026 року</w:t>
            </w:r>
          </w:p>
        </w:tc>
        <w:tc>
          <w:tcPr>
            <w:tcW w:type="dxa" w:w="2891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505050"/>
                <w:sz w:val="28"/>
              </w:rPr>
              <w:t>[населений пункт]</w:t>
            </w:r>
          </w:p>
        </w:tc>
        <w:tc>
          <w:tcPr>
            <w:tcW w:type="dxa" w:w="2721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/>
                <w:b w:val="0"/>
                <w:i/>
                <w:color w:val="505050"/>
                <w:sz w:val="28"/>
              </w:rPr>
              <w:t>№ [___]</w:t>
            </w:r>
          </w:p>
        </w:tc>
      </w:tr>
    </w:tbl>
    <w:p>
      <w:pPr>
        <w:spacing w:before="200" w:after="200" w:line="240" w:lineRule="auto"/>
        <w:ind w:left="0" w:firstLine="0"/>
        <w:jc w:val="center"/>
      </w:pPr>
      <w:r>
        <w:rPr>
          <w:rFonts w:ascii="Times New Roman" w:hAnsi="Times New Roman"/>
          <w:b/>
          <w:i w:val="0"/>
          <w:sz w:val="28"/>
        </w:rPr>
        <w:t>Про організацію харчування здобувачів освіти</w:t>
        <w:br/>
        <w:t>у 2026/2027 навчальному році</w:t>
      </w:r>
    </w:p>
    <w:p>
      <w:pPr>
        <w:spacing w:before="0" w:after="160" w:line="252" w:lineRule="auto"/>
        <w:ind w:left="0" w:firstLine="709"/>
        <w:jc w:val="both"/>
      </w:pPr>
      <w:r>
        <w:rPr>
          <w:rFonts w:ascii="Times New Roman" w:hAnsi="Times New Roman"/>
          <w:b w:val="0"/>
          <w:i w:val="0"/>
          <w:sz w:val="28"/>
        </w:rPr>
        <w:t xml:space="preserve">Відповідно до постанови Кабінету Міністрів України від 24 березня 2021 року № 305 «Про затвердження норм та Порядку організації харчування у закладах освіти та дитячих закладах оздоровлення та відпочинку», Санітарного регламенту для закладів загальної середньої освіти, затвердженого наказом Міністерства охорони здоров’я України від 25 вересня 2020 року № 2205, </w:t>
      </w:r>
      <w:r>
        <w:rPr>
          <w:rFonts w:ascii="Times New Roman" w:hAnsi="Times New Roman"/>
          <w:b w:val="0"/>
          <w:i/>
          <w:color w:val="5A5A5A"/>
          <w:sz w:val="28"/>
        </w:rPr>
        <w:t>[рішення засновника / іншого локального документа від __ № __ — за наявності]</w:t>
      </w:r>
      <w:r>
        <w:rPr>
          <w:rFonts w:ascii="Times New Roman" w:hAnsi="Times New Roman"/>
          <w:b w:val="0"/>
          <w:i w:val="0"/>
          <w:sz w:val="28"/>
        </w:rPr>
        <w:t>, з метою забезпечення безпечного, якісного та належно організованого харчування здобувачів освіти</w:t>
      </w:r>
    </w:p>
    <w:p>
      <w:pPr>
        <w:spacing w:before="80" w:after="200" w:line="240" w:lineRule="auto"/>
        <w:ind w:left="0" w:firstLine="0"/>
        <w:jc w:val="center"/>
      </w:pPr>
      <w:r>
        <w:rPr>
          <w:rFonts w:ascii="Times New Roman" w:hAnsi="Times New Roman"/>
          <w:b/>
          <w:i w:val="0"/>
          <w:sz w:val="28"/>
        </w:rPr>
        <w:t>НАКАЗУЮ: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1. </w:t>
      </w:r>
      <w:r>
        <w:rPr>
          <w:rFonts w:ascii="Times New Roman" w:hAnsi="Times New Roman"/>
          <w:b w:val="0"/>
          <w:i w:val="0"/>
          <w:sz w:val="28"/>
        </w:rPr>
        <w:t xml:space="preserve">Організувати з </w:t>
      </w:r>
      <w:r>
        <w:rPr>
          <w:rFonts w:ascii="Times New Roman" w:hAnsi="Times New Roman"/>
          <w:b w:val="0"/>
          <w:i/>
          <w:color w:val="5A5A5A"/>
          <w:sz w:val="28"/>
        </w:rPr>
        <w:t>[дата початку]</w:t>
      </w:r>
      <w:r>
        <w:rPr>
          <w:rFonts w:ascii="Times New Roman" w:hAnsi="Times New Roman"/>
          <w:b w:val="0"/>
          <w:i w:val="0"/>
          <w:sz w:val="28"/>
        </w:rPr>
        <w:t xml:space="preserve"> харчування здобувачів освіти </w:t>
      </w:r>
      <w:r>
        <w:rPr>
          <w:rFonts w:ascii="Times New Roman" w:hAnsi="Times New Roman"/>
          <w:b w:val="0"/>
          <w:i/>
          <w:color w:val="5A5A5A"/>
          <w:sz w:val="28"/>
        </w:rPr>
        <w:t>[назва закладу]</w:t>
      </w:r>
      <w:r>
        <w:rPr>
          <w:rFonts w:ascii="Times New Roman" w:hAnsi="Times New Roman"/>
          <w:b w:val="0"/>
          <w:i w:val="0"/>
          <w:sz w:val="28"/>
        </w:rPr>
        <w:t xml:space="preserve"> відповідно до вимог чинного законодавства та локальних рішень засновника.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2. </w:t>
      </w:r>
      <w:r>
        <w:rPr>
          <w:rFonts w:ascii="Times New Roman" w:hAnsi="Times New Roman"/>
          <w:b w:val="0"/>
          <w:i w:val="0"/>
          <w:sz w:val="28"/>
        </w:rPr>
        <w:t xml:space="preserve">Визначити спосіб організації харчування: </w:t>
      </w:r>
      <w:r>
        <w:rPr>
          <w:rFonts w:ascii="Times New Roman" w:hAnsi="Times New Roman"/>
          <w:b w:val="0"/>
          <w:i/>
          <w:color w:val="5A5A5A"/>
          <w:sz w:val="28"/>
        </w:rPr>
        <w:t>[самостійне приготування страв / аутсорсинг / кейтеринг / інший передбачений законодавством спосіб]</w:t>
      </w:r>
      <w:r>
        <w:rPr>
          <w:rFonts w:ascii="Times New Roman" w:hAnsi="Times New Roman"/>
          <w:b w:val="0"/>
          <w:i w:val="0"/>
          <w:sz w:val="28"/>
        </w:rPr>
        <w:t>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3. </w:t>
      </w:r>
      <w:r>
        <w:rPr>
          <w:rFonts w:ascii="Times New Roman" w:hAnsi="Times New Roman"/>
          <w:b w:val="0"/>
          <w:i w:val="0"/>
          <w:sz w:val="28"/>
        </w:rPr>
        <w:t xml:space="preserve">Затвердити / ввести в дію графік харчування здобувачів освіти згідно з додатком 1 до цього наказу </w:t>
      </w:r>
      <w:r>
        <w:rPr>
          <w:rFonts w:ascii="Times New Roman" w:hAnsi="Times New Roman"/>
          <w:b w:val="0"/>
          <w:i/>
          <w:color w:val="5A5A5A"/>
          <w:sz w:val="28"/>
        </w:rPr>
        <w:t>[або: відповідно до окремо затвердженого графіка]</w:t>
      </w:r>
      <w:r>
        <w:rPr>
          <w:rFonts w:ascii="Times New Roman" w:hAnsi="Times New Roman"/>
          <w:b w:val="0"/>
          <w:i w:val="0"/>
          <w:sz w:val="28"/>
        </w:rPr>
        <w:t>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4. </w:t>
      </w:r>
      <w:r>
        <w:rPr>
          <w:rFonts w:ascii="Times New Roman" w:hAnsi="Times New Roman"/>
          <w:b w:val="0"/>
          <w:i w:val="0"/>
          <w:sz w:val="28"/>
        </w:rPr>
        <w:t>Забезпечити безоплатним гарячим харчуванням здобувачів освіти, які мають на це право відповідно до законодавства, рішень засновника та встановленого порядку фінансування.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5. </w:t>
      </w:r>
      <w:r>
        <w:rPr>
          <w:rFonts w:ascii="Times New Roman" w:hAnsi="Times New Roman"/>
          <w:b w:val="0"/>
          <w:i w:val="0"/>
          <w:sz w:val="28"/>
        </w:rPr>
        <w:t xml:space="preserve">Призначити </w:t>
      </w:r>
      <w:r>
        <w:rPr>
          <w:rFonts w:ascii="Times New Roman" w:hAnsi="Times New Roman"/>
          <w:b w:val="0"/>
          <w:i/>
          <w:color w:val="5A5A5A"/>
          <w:sz w:val="28"/>
        </w:rPr>
        <w:t>[посада, ПІБ]</w:t>
      </w:r>
      <w:r>
        <w:rPr>
          <w:rFonts w:ascii="Times New Roman" w:hAnsi="Times New Roman"/>
          <w:b w:val="0"/>
          <w:i w:val="0"/>
          <w:sz w:val="28"/>
        </w:rPr>
        <w:t xml:space="preserve"> відповідальною особою за організацію харчування у закладі освіти.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6. </w:t>
      </w:r>
      <w:r>
        <w:rPr>
          <w:rFonts w:ascii="Times New Roman" w:hAnsi="Times New Roman"/>
          <w:b w:val="0"/>
          <w:i w:val="0"/>
          <w:sz w:val="28"/>
        </w:rPr>
        <w:t xml:space="preserve">Відповідальній особі за організацію харчування </w:t>
      </w:r>
      <w:r>
        <w:rPr>
          <w:rFonts w:ascii="Times New Roman" w:hAnsi="Times New Roman"/>
          <w:b w:val="0"/>
          <w:i/>
          <w:color w:val="5A5A5A"/>
          <w:sz w:val="28"/>
        </w:rPr>
        <w:t>[ПІБ]</w:t>
      </w:r>
      <w:r>
        <w:rPr>
          <w:rFonts w:ascii="Times New Roman" w:hAnsi="Times New Roman"/>
          <w:b w:val="0"/>
          <w:i w:val="0"/>
          <w:sz w:val="28"/>
        </w:rPr>
        <w:t xml:space="preserve"> забезпечити координацію організації харчування, ведення передбаченого законодавством обліку, контроль дотримання режиму та графіка харчування, умов зберігання харчових продуктів, меню та належного ведення документації в межах визначених повноважень.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7. </w:t>
      </w:r>
      <w:r>
        <w:rPr>
          <w:rFonts w:ascii="Times New Roman" w:hAnsi="Times New Roman"/>
          <w:b w:val="0"/>
          <w:i w:val="0"/>
          <w:sz w:val="28"/>
        </w:rPr>
        <w:t xml:space="preserve">Затвердити склад бракеражної комісії: голова — </w:t>
      </w:r>
      <w:r>
        <w:rPr>
          <w:rFonts w:ascii="Times New Roman" w:hAnsi="Times New Roman"/>
          <w:b w:val="0"/>
          <w:i/>
          <w:color w:val="5A5A5A"/>
          <w:sz w:val="28"/>
        </w:rPr>
        <w:t>[ПІБ, посада]</w:t>
      </w:r>
      <w:r>
        <w:rPr>
          <w:rFonts w:ascii="Times New Roman" w:hAnsi="Times New Roman"/>
          <w:b w:val="0"/>
          <w:i w:val="0"/>
          <w:sz w:val="28"/>
        </w:rPr>
        <w:t xml:space="preserve">; члени комісії — </w:t>
      </w:r>
      <w:r>
        <w:rPr>
          <w:rFonts w:ascii="Times New Roman" w:hAnsi="Times New Roman"/>
          <w:b w:val="0"/>
          <w:i/>
          <w:color w:val="5A5A5A"/>
          <w:sz w:val="28"/>
        </w:rPr>
        <w:t>[ПІБ, посади]</w:t>
      </w:r>
      <w:r>
        <w:rPr>
          <w:rFonts w:ascii="Times New Roman" w:hAnsi="Times New Roman"/>
          <w:b w:val="0"/>
          <w:i w:val="0"/>
          <w:sz w:val="28"/>
        </w:rPr>
        <w:t>. У роботі комісії керуватися чинним Порядком організації харчування та положенням про бракеражну комісію закладу.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8. </w:t>
      </w:r>
      <w:r>
        <w:rPr>
          <w:rFonts w:ascii="Times New Roman" w:hAnsi="Times New Roman"/>
          <w:b w:val="0"/>
          <w:i w:val="0"/>
          <w:sz w:val="28"/>
        </w:rPr>
        <w:t>Бракеражній комісії здійснювати бракераж харчових продуктів та/або готових страв у порядку, установленому законодавством, із належним оформленням відповідної документації.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9. </w:t>
      </w:r>
      <w:r>
        <w:rPr>
          <w:rFonts w:ascii="Times New Roman" w:hAnsi="Times New Roman"/>
          <w:b w:val="0"/>
          <w:i w:val="0"/>
          <w:sz w:val="28"/>
        </w:rPr>
        <w:t>Організувати харчування відповідно до примірного чотиритижневого сезонного меню та щоденного меню-розкладу, оформлених і погоджених / затверджених у порядку, що відповідає обраному способу організації харчування.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10. </w:t>
      </w:r>
      <w:r>
        <w:rPr>
          <w:rFonts w:ascii="Times New Roman" w:hAnsi="Times New Roman"/>
          <w:b w:val="0"/>
          <w:i w:val="0"/>
          <w:sz w:val="28"/>
        </w:rPr>
        <w:t>Забезпечити дотримання санітарно-гігієнічних вимог, вимог законодавства про безпечність та якість харчових продуктів, а також процедур, заснованих на принципах НАССР, у межах обов’язків закладу та оператора ринку.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11. </w:t>
      </w:r>
      <w:r>
        <w:rPr>
          <w:rFonts w:ascii="Times New Roman" w:hAnsi="Times New Roman"/>
          <w:b w:val="0"/>
          <w:i w:val="0"/>
          <w:sz w:val="28"/>
        </w:rPr>
        <w:t>Забезпечити належний питний режим здобувачів освіти відповідно до вимог Санітарного регламенту.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12. </w:t>
      </w:r>
      <w:r>
        <w:rPr>
          <w:rFonts w:ascii="Times New Roman" w:hAnsi="Times New Roman"/>
          <w:b w:val="0"/>
          <w:i w:val="0"/>
          <w:sz w:val="28"/>
        </w:rPr>
        <w:t xml:space="preserve">Класним керівникам </w:t>
      </w:r>
      <w:r>
        <w:rPr>
          <w:rFonts w:ascii="Times New Roman" w:hAnsi="Times New Roman"/>
          <w:b w:val="0"/>
          <w:i/>
          <w:color w:val="5A5A5A"/>
          <w:sz w:val="28"/>
        </w:rPr>
        <w:t>[або іншим визначеним працівникам]</w:t>
      </w:r>
      <w:r>
        <w:rPr>
          <w:rFonts w:ascii="Times New Roman" w:hAnsi="Times New Roman"/>
          <w:b w:val="0"/>
          <w:i w:val="0"/>
          <w:sz w:val="28"/>
        </w:rPr>
        <w:t xml:space="preserve"> подавати відповідальній особі інформацію про фактичну кількість здобувачів освіти, які харчуються, у строки та спосіб, визначені внутрішнім порядком закладу.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13. </w:t>
      </w:r>
      <w:r>
        <w:rPr>
          <w:rFonts w:ascii="Times New Roman" w:hAnsi="Times New Roman"/>
          <w:b w:val="0"/>
          <w:i w:val="0"/>
          <w:sz w:val="28"/>
        </w:rPr>
        <w:t>У разі повітряної тривоги, перебоїв електропостачання або інших надзвичайних обставин діяти відповідно до вимог законодавства, планів реагування та затверджених у закладі процедур безпеки.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14. </w:t>
      </w:r>
      <w:r>
        <w:rPr>
          <w:rFonts w:ascii="Times New Roman" w:hAnsi="Times New Roman"/>
          <w:b w:val="0"/>
          <w:i/>
          <w:color w:val="5A5A5A"/>
          <w:sz w:val="28"/>
        </w:rPr>
        <w:t>[За потреби.]</w:t>
      </w:r>
      <w:r>
        <w:rPr>
          <w:rFonts w:ascii="Times New Roman" w:hAnsi="Times New Roman"/>
          <w:b w:val="0"/>
          <w:i w:val="0"/>
          <w:sz w:val="28"/>
        </w:rPr>
        <w:t xml:space="preserve"> У разі недостатньої місткості обідньої зали організовувати видачу та/або споживання їжі в інших визначених приміщеннях лише за умов і з дотриманням вимог, передбачених чинною редакцією Порядку організації харчування.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15. </w:t>
      </w:r>
      <w:r>
        <w:rPr>
          <w:rFonts w:ascii="Times New Roman" w:hAnsi="Times New Roman"/>
          <w:b w:val="0"/>
          <w:i w:val="0"/>
          <w:sz w:val="28"/>
        </w:rPr>
        <w:t>Ознайомити працівників, яких стосується цей наказ, з його змістом у встановленому в закладі порядку.</w:t>
      </w:r>
    </w:p>
    <w:p>
      <w:pPr>
        <w:spacing w:before="0" w:after="60" w:line="240" w:lineRule="auto"/>
        <w:ind w:left="425" w:hanging="425"/>
      </w:pPr>
      <w:r>
        <w:rPr>
          <w:rFonts w:ascii="Times New Roman" w:hAnsi="Times New Roman"/>
          <w:b/>
          <w:i w:val="0"/>
          <w:sz w:val="28"/>
        </w:rPr>
        <w:t xml:space="preserve">16. </w:t>
      </w:r>
      <w:r>
        <w:rPr>
          <w:rFonts w:ascii="Times New Roman" w:hAnsi="Times New Roman"/>
          <w:b w:val="0"/>
          <w:i w:val="0"/>
          <w:sz w:val="28"/>
        </w:rPr>
        <w:t xml:space="preserve">Контроль за виконанням цього наказу </w:t>
      </w:r>
      <w:r>
        <w:rPr>
          <w:rFonts w:ascii="Times New Roman" w:hAnsi="Times New Roman"/>
          <w:b w:val="0"/>
          <w:i/>
          <w:color w:val="5A5A5A"/>
          <w:sz w:val="28"/>
        </w:rPr>
        <w:t>[залишаю за собою / покладаю на посаду, ПІБ]</w:t>
      </w:r>
      <w:r>
        <w:rPr>
          <w:rFonts w:ascii="Times New Roman" w:hAnsi="Times New Roman"/>
          <w:b w:val="0"/>
          <w:i w:val="0"/>
          <w:sz w:val="28"/>
        </w:rPr>
        <w:t>.</w:t>
      </w:r>
    </w:p>
    <w:p>
      <w:pPr>
        <w:tabs>
          <w:tab w:pos="3515" w:val="left"/>
          <w:tab w:pos="6236" w:val="left"/>
        </w:tabs>
        <w:spacing w:before="320" w:after="160" w:line="240" w:lineRule="auto"/>
        <w:ind w:left="0" w:firstLine="0"/>
      </w:pPr>
      <w:r>
        <w:rPr>
          <w:rFonts w:ascii="Times New Roman" w:hAnsi="Times New Roman"/>
          <w:b w:val="0"/>
          <w:i w:val="0"/>
          <w:sz w:val="28"/>
        </w:rPr>
        <w:t>Директор</w:t>
      </w:r>
      <w:r>
        <w:rPr>
          <w:rFonts w:ascii="Times New Roman" w:hAnsi="Times New Roman"/>
          <w:b w:val="0"/>
          <w:i w:val="0"/>
          <w:sz w:val="28"/>
        </w:rPr>
        <w:tab/>
        <w:t>______________</w:t>
      </w:r>
      <w:r>
        <w:rPr>
          <w:rFonts w:ascii="Times New Roman" w:hAnsi="Times New Roman"/>
          <w:b w:val="0"/>
          <w:i/>
          <w:color w:val="505050"/>
          <w:sz w:val="28"/>
        </w:rPr>
        <w:tab/>
        <w:t>[ПІБ]</w:t>
      </w:r>
    </w:p>
    <w:p>
      <w:pPr>
        <w:spacing w:before="200" w:after="0" w:line="240" w:lineRule="auto"/>
        <w:ind w:left="0" w:firstLine="0"/>
      </w:pPr>
      <w:r>
        <w:rPr>
          <w:rFonts w:ascii="Times New Roman" w:hAnsi="Times New Roman"/>
          <w:b/>
          <w:i w:val="0"/>
          <w:sz w:val="24"/>
        </w:rPr>
        <w:t>З наказом ознайомлені:</w:t>
      </w:r>
    </w:p>
    <w:p>
      <w:pPr>
        <w:spacing w:before="0" w:after="40" w:line="240" w:lineRule="auto"/>
        <w:ind w:left="0" w:firstLine="0"/>
      </w:pPr>
      <w:r>
        <w:rPr>
          <w:rFonts w:ascii="Times New Roman" w:hAnsi="Times New Roman"/>
          <w:b w:val="0"/>
          <w:i w:val="0"/>
          <w:color w:val="505050"/>
          <w:sz w:val="22"/>
        </w:rPr>
        <w:t>__________________    __________________    __________________</w:t>
      </w:r>
    </w:p>
    <w:p>
      <w:pPr>
        <w:spacing w:before="0" w:after="40" w:line="240" w:lineRule="auto"/>
        <w:ind w:left="0" w:firstLine="0"/>
      </w:pPr>
      <w:r>
        <w:rPr>
          <w:rFonts w:ascii="Times New Roman" w:hAnsi="Times New Roman"/>
          <w:b w:val="0"/>
          <w:i w:val="0"/>
          <w:color w:val="505050"/>
          <w:sz w:val="22"/>
        </w:rPr>
        <w:t>__________________    __________________    __________________</w:t>
      </w:r>
    </w:p>
    <w:p>
      <w:pPr>
        <w:spacing w:before="0" w:after="40" w:line="240" w:lineRule="auto"/>
        <w:ind w:left="0" w:firstLine="0"/>
      </w:pPr>
      <w:r>
        <w:rPr>
          <w:rFonts w:ascii="Times New Roman" w:hAnsi="Times New Roman"/>
          <w:b w:val="0"/>
          <w:i w:val="0"/>
          <w:color w:val="505050"/>
          <w:sz w:val="22"/>
        </w:rPr>
        <w:t>__________________    __________________    __________________</w:t>
      </w:r>
    </w:p>
    <w:p>
      <w:r>
        <w:br w:type="page"/>
      </w:r>
    </w:p>
    <w:p>
      <w:pPr>
        <w:spacing w:before="0" w:after="40" w:line="240" w:lineRule="auto"/>
        <w:ind w:left="0" w:firstLine="0"/>
        <w:jc w:val="right"/>
      </w:pPr>
      <w:r>
        <w:rPr>
          <w:rFonts w:ascii="Times New Roman" w:hAnsi="Times New Roman"/>
          <w:b/>
          <w:i w:val="0"/>
          <w:sz w:val="24"/>
        </w:rPr>
        <w:t>Додаток 1</w:t>
      </w:r>
    </w:p>
    <w:p>
      <w:pPr>
        <w:spacing w:before="0" w:after="160" w:line="240" w:lineRule="auto"/>
        <w:ind w:left="0" w:firstLine="0"/>
        <w:jc w:val="right"/>
      </w:pPr>
      <w:r>
        <w:rPr>
          <w:rFonts w:ascii="Times New Roman" w:hAnsi="Times New Roman"/>
          <w:b w:val="0"/>
          <w:i/>
          <w:color w:val="505050"/>
          <w:sz w:val="22"/>
        </w:rPr>
        <w:t>до наказу від [дата] № [___]</w:t>
      </w:r>
    </w:p>
    <w:p>
      <w:pPr>
        <w:spacing w:before="120" w:after="200" w:line="240" w:lineRule="auto"/>
        <w:ind w:left="0" w:firstLine="0"/>
        <w:jc w:val="center"/>
      </w:pPr>
      <w:r>
        <w:rPr>
          <w:rFonts w:ascii="Times New Roman" w:hAnsi="Times New Roman"/>
          <w:b/>
          <w:i w:val="0"/>
          <w:sz w:val="28"/>
        </w:rPr>
        <w:t>ОРІЄНТОВНИЙ ГРАФІК ХАРЧУВАННЯ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701"/>
            <w:shd w:fill="EDEDE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sz w:val="22"/>
              </w:rPr>
              <w:t>Час</w:t>
            </w:r>
          </w:p>
        </w:tc>
        <w:tc>
          <w:tcPr>
            <w:tcW w:type="dxa" w:w="2381"/>
            <w:shd w:fill="EDEDE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sz w:val="22"/>
              </w:rPr>
              <w:t>Класи / групи</w:t>
            </w:r>
          </w:p>
        </w:tc>
        <w:tc>
          <w:tcPr>
            <w:tcW w:type="dxa" w:w="2494"/>
            <w:shd w:fill="EDEDE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sz w:val="22"/>
              </w:rPr>
              <w:t>Вид харчування</w:t>
            </w:r>
          </w:p>
        </w:tc>
        <w:tc>
          <w:tcPr>
            <w:tcW w:type="dxa" w:w="1928"/>
            <w:shd w:fill="EDEDE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sz w:val="22"/>
              </w:rPr>
              <w:t>Примітка</w:t>
            </w:r>
          </w:p>
        </w:tc>
      </w:tr>
      <w:tr>
        <w:trPr>
          <w:trHeight w:val="510" w:hRule="atLeast"/>
        </w:trPr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</w:tr>
      <w:tr>
        <w:trPr>
          <w:trHeight w:val="510" w:hRule="atLeast"/>
        </w:trPr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</w:tr>
      <w:tr>
        <w:trPr>
          <w:trHeight w:val="510" w:hRule="atLeast"/>
        </w:trPr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</w:tr>
      <w:tr>
        <w:trPr>
          <w:trHeight w:val="510" w:hRule="atLeast"/>
        </w:trPr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</w:tr>
      <w:tr>
        <w:trPr>
          <w:trHeight w:val="510" w:hRule="atLeast"/>
        </w:trPr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</w:tr>
      <w:tr>
        <w:trPr>
          <w:trHeight w:val="510" w:hRule="atLeast"/>
        </w:trPr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  <w:tc>
          <w:tcPr>
            <w:tcW w:type="dxa" w:w="256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/>
                <w:color w:val="787878"/>
                <w:sz w:val="20"/>
              </w:rPr>
              <w:t>[заповнити]</w:t>
            </w:r>
          </w:p>
        </w:tc>
      </w:tr>
    </w:tbl>
    <w:p>
      <w:pPr>
        <w:spacing w:before="160" w:after="80" w:line="240" w:lineRule="auto"/>
        <w:ind w:left="0" w:firstLine="0"/>
      </w:pPr>
      <w:r>
        <w:rPr>
          <w:rFonts w:ascii="Times New Roman" w:hAnsi="Times New Roman"/>
          <w:b/>
          <w:i w:val="0"/>
          <w:color w:val="505050"/>
          <w:sz w:val="20"/>
        </w:rPr>
        <w:t>Примітка:</w:t>
      </w:r>
      <w:r>
        <w:rPr>
          <w:rFonts w:ascii="Times New Roman" w:hAnsi="Times New Roman"/>
          <w:b w:val="0"/>
          <w:i/>
          <w:color w:val="505050"/>
          <w:sz w:val="20"/>
        </w:rPr>
        <w:t xml:space="preserve"> графік слід формувати з урахуванням фактичної кількості учнів, режиму роботи закладу, місткості їдальні та вимог безпеки.</w:t>
      </w:r>
    </w:p>
    <w:p>
      <w:r>
        <w:br w:type="page"/>
      </w:r>
    </w:p>
    <w:p>
      <w:pPr>
        <w:spacing w:before="0" w:after="160" w:line="240" w:lineRule="auto"/>
        <w:ind w:left="0" w:firstLine="0"/>
        <w:jc w:val="center"/>
      </w:pPr>
      <w:r>
        <w:rPr>
          <w:rFonts w:ascii="Times New Roman" w:hAnsi="Times New Roman"/>
          <w:b/>
          <w:i w:val="0"/>
          <w:sz w:val="28"/>
        </w:rPr>
        <w:t>ПРИМІТКА ДО ШАБЛОНУ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</w:tblPr>
      <w:tblGrid>
        <w:gridCol w:w="10256"/>
      </w:tblGrid>
      <w:tr>
        <w:tc>
          <w:tcPr>
            <w:tcW w:type="dxa" w:w="8504"/>
            <w:shd w:fill="F3F3F3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before="0" w:after="80" w:line="240" w:lineRule="auto"/>
              <w:ind w:left="0" w:firstLine="0"/>
            </w:pPr>
            <w:r>
              <w:rPr>
                <w:rFonts w:ascii="Times New Roman" w:hAnsi="Times New Roman"/>
                <w:b/>
                <w:i w:val="0"/>
                <w:sz w:val="22"/>
              </w:rPr>
              <w:t xml:space="preserve">Цей документ є орієнтовним зразком, а не затвердженою державою типовою формою. </w:t>
            </w:r>
            <w:r>
              <w:rPr>
                <w:rFonts w:ascii="Times New Roman" w:hAnsi="Times New Roman"/>
                <w:b w:val="0"/>
                <w:i w:val="0"/>
                <w:sz w:val="22"/>
              </w:rPr>
              <w:t>Перед підписанням його потрібно адаптувати до форми власності закладу, рішень засновника, способу організації харчування, договорів з постачальниками/операторами ринку, штатного розпису та фактичного режиму роботи школи.</w:t>
            </w:r>
          </w:p>
        </w:tc>
      </w:tr>
    </w:tbl>
    <w:p>
      <w:pPr>
        <w:spacing w:before="240" w:after="120" w:line="240" w:lineRule="auto"/>
        <w:ind w:left="0" w:firstLine="0"/>
      </w:pPr>
      <w:r>
        <w:rPr>
          <w:rFonts w:ascii="Times New Roman" w:hAnsi="Times New Roman"/>
          <w:b/>
          <w:i w:val="0"/>
          <w:sz w:val="24"/>
        </w:rPr>
        <w:t>Що перевірити перед використанням:</w:t>
      </w:r>
    </w:p>
    <w:p>
      <w:pPr>
        <w:pStyle w:val="ListBullet"/>
        <w:spacing w:before="0" w:after="40" w:line="240" w:lineRule="auto"/>
        <w:ind w:left="283" w:firstLine="0"/>
      </w:pPr>
      <w:r>
        <w:rPr>
          <w:rFonts w:ascii="Times New Roman" w:hAnsi="Times New Roman"/>
          <w:b w:val="0"/>
          <w:i w:val="0"/>
          <w:sz w:val="22"/>
        </w:rPr>
        <w:t>актуальність відповідальної особи та складу бракеражної комісії;</w:t>
      </w:r>
    </w:p>
    <w:p>
      <w:pPr>
        <w:pStyle w:val="ListBullet"/>
        <w:spacing w:before="0" w:after="40" w:line="240" w:lineRule="auto"/>
        <w:ind w:left="283" w:firstLine="0"/>
      </w:pPr>
      <w:r>
        <w:rPr>
          <w:rFonts w:ascii="Times New Roman" w:hAnsi="Times New Roman"/>
          <w:b w:val="0"/>
          <w:i w:val="0"/>
          <w:sz w:val="22"/>
        </w:rPr>
        <w:t>чинність положення про бракеражну комісію;</w:t>
      </w:r>
    </w:p>
    <w:p>
      <w:pPr>
        <w:pStyle w:val="ListBullet"/>
        <w:spacing w:before="0" w:after="40" w:line="240" w:lineRule="auto"/>
        <w:ind w:left="283" w:firstLine="0"/>
      </w:pPr>
      <w:r>
        <w:rPr>
          <w:rFonts w:ascii="Times New Roman" w:hAnsi="Times New Roman"/>
          <w:b w:val="0"/>
          <w:i w:val="0"/>
          <w:sz w:val="22"/>
        </w:rPr>
        <w:t>рішення засновника щодо організації та фінансування харчування;</w:t>
      </w:r>
    </w:p>
    <w:p>
      <w:pPr>
        <w:pStyle w:val="ListBullet"/>
        <w:spacing w:before="0" w:after="40" w:line="240" w:lineRule="auto"/>
        <w:ind w:left="283" w:firstLine="0"/>
      </w:pPr>
      <w:r>
        <w:rPr>
          <w:rFonts w:ascii="Times New Roman" w:hAnsi="Times New Roman"/>
          <w:b w:val="0"/>
          <w:i w:val="0"/>
          <w:sz w:val="22"/>
        </w:rPr>
        <w:t>фактичний спосіб організації харчування (власний харчоблок, аутсорсинг, кейтеринг тощо);</w:t>
      </w:r>
    </w:p>
    <w:p>
      <w:pPr>
        <w:pStyle w:val="ListBullet"/>
        <w:spacing w:before="0" w:after="40" w:line="240" w:lineRule="auto"/>
        <w:ind w:left="283" w:firstLine="0"/>
      </w:pPr>
      <w:r>
        <w:rPr>
          <w:rFonts w:ascii="Times New Roman" w:hAnsi="Times New Roman"/>
          <w:b w:val="0"/>
          <w:i w:val="0"/>
          <w:sz w:val="22"/>
        </w:rPr>
        <w:t>актуальність графіка, меню та внутрішньої документації;</w:t>
      </w:r>
    </w:p>
    <w:p>
      <w:pPr>
        <w:pStyle w:val="ListBullet"/>
        <w:spacing w:before="0" w:after="40" w:line="240" w:lineRule="auto"/>
        <w:ind w:left="283" w:firstLine="0"/>
      </w:pPr>
      <w:r>
        <w:rPr>
          <w:rFonts w:ascii="Times New Roman" w:hAnsi="Times New Roman"/>
          <w:b w:val="0"/>
          <w:i w:val="0"/>
          <w:sz w:val="22"/>
        </w:rPr>
        <w:t>чинну на дату видання наказу редакцію нормативно-правових актів.</w:t>
      </w:r>
    </w:p>
    <w:p>
      <w:pPr>
        <w:spacing w:before="200" w:after="100" w:line="240" w:lineRule="auto"/>
        <w:ind w:left="0" w:firstLine="0"/>
      </w:pPr>
      <w:r>
        <w:rPr>
          <w:rFonts w:ascii="Times New Roman" w:hAnsi="Times New Roman"/>
          <w:b/>
          <w:i w:val="0"/>
          <w:sz w:val="24"/>
        </w:rPr>
        <w:t>Нормативна база (перевірено станом на серпень 2026 року):</w:t>
      </w:r>
    </w:p>
    <w:p>
      <w:pPr>
        <w:pStyle w:val="ListBullet"/>
        <w:spacing w:before="0" w:after="60" w:line="240" w:lineRule="auto"/>
        <w:ind w:left="283" w:firstLine="0"/>
      </w:pPr>
      <w:hyperlink r:id="rId10">
        <w:r>
          <w:rPr>
            <w:rFonts w:ascii="Times New Roman" w:hAnsi="Times New Roman"/>
            <w:color w:val="0563C1"/>
            <w:u w:val="single"/>
            <w:sz w:val="22"/>
          </w:rPr>
          <w:t>Постанова Кабінету Міністрів України від 24.03.2021 № 305 — чинна редакція</w:t>
        </w:r>
      </w:hyperlink>
    </w:p>
    <w:p>
      <w:pPr>
        <w:pStyle w:val="ListBullet"/>
        <w:spacing w:before="0" w:after="60" w:line="240" w:lineRule="auto"/>
        <w:ind w:left="283" w:firstLine="0"/>
      </w:pPr>
      <w:hyperlink r:id="rId11">
        <w:r>
          <w:rPr>
            <w:rFonts w:ascii="Times New Roman" w:hAnsi="Times New Roman"/>
            <w:color w:val="0563C1"/>
            <w:u w:val="single"/>
            <w:sz w:val="22"/>
          </w:rPr>
          <w:t>Санітарний регламент для закладів загальної середньої освіти, наказ МОЗ від 25.09.2020 № 2205</w:t>
        </w:r>
      </w:hyperlink>
    </w:p>
    <w:p>
      <w:pPr>
        <w:pStyle w:val="ListBullet"/>
        <w:spacing w:before="0" w:after="60" w:line="240" w:lineRule="auto"/>
        <w:ind w:left="283" w:firstLine="0"/>
      </w:pPr>
      <w:hyperlink r:id="rId12">
        <w:r>
          <w:rPr>
            <w:rFonts w:ascii="Times New Roman" w:hAnsi="Times New Roman"/>
            <w:color w:val="0563C1"/>
            <w:u w:val="single"/>
            <w:sz w:val="22"/>
          </w:rPr>
          <w:t>ДСЯО: «Підготовка до 2026/2027 навчального року: на що звернути увагу директорові ЗЗСО» (11.08.2026)</w:t>
        </w:r>
      </w:hyperlink>
    </w:p>
    <w:p>
      <w:pPr>
        <w:spacing w:before="200" w:after="0" w:line="240" w:lineRule="auto"/>
        <w:ind w:left="0" w:firstLine="0"/>
      </w:pPr>
      <w:r>
        <w:rPr>
          <w:rFonts w:ascii="Times New Roman" w:hAnsi="Times New Roman"/>
          <w:b w:val="0"/>
          <w:i/>
          <w:color w:val="787878"/>
          <w:sz w:val="18"/>
        </w:rPr>
        <w:t>Підготовлено як редакційний шаблон для практичного використання.</w:t>
      </w:r>
    </w:p>
    <w:sectPr w:rsidR="00FC693F" w:rsidRPr="0006063C" w:rsidSect="00034616">
      <w:headerReference w:type="default" r:id="rId9"/>
      <w:footerReference w:type="default" r:id="rId13"/>
      <w:pgSz w:w="12240" w:h="15840"/>
      <w:pgMar w:top="964" w:right="850" w:bottom="964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color w:val="828282"/>
        <w:sz w:val="16"/>
      </w:rPr>
      <w:t>Зразок наказу • 2026/2027 навчальний рік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b/>
        <w:i w:val="0"/>
        <w:color w:val="646464"/>
        <w:sz w:val="18"/>
      </w:rPr>
      <w:t>ЗРАЗОК • 2026/2027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Note">
    <w:name w:val="Template Note"/>
    <w:rPr>
      <w:rFonts w:ascii="Times New Roman" w:hAnsi="Times New Roman"/>
      <w:i/>
      <w:color w:val="5A5A5A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zakon.rada.gov.ua/laws/show/305-2021-%D0%BF" TargetMode="External"/><Relationship Id="rId11" Type="http://schemas.openxmlformats.org/officeDocument/2006/relationships/hyperlink" Target="https://zakon.rada.gov.ua/laws/show/z1111-20" TargetMode="External"/><Relationship Id="rId12" Type="http://schemas.openxmlformats.org/officeDocument/2006/relationships/hyperlink" Target="https://sqe.gov.ua/pidgotovka-2026-2027-nr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наказу про організацію харчування у школі на 2026/2027 навчальний рік</dc:title>
  <dc:subject>Редагований шаблон наказу для закладу загальної середньої освіти</dc:subject>
  <dc:creator/>
  <cp:keywords>харчування, школа, наказ, 2026/2027, зразок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