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Liberation Sans" w:hAnsi="Liberation Sans" w:eastAsia="Liberation Sans"/>
          <w:b/>
          <w:color w:val="1F2937"/>
          <w:sz w:val="18"/>
        </w:rPr>
        <w:t>ЗАТВЕРДЖЕНО</w:t>
        <w:br/>
      </w:r>
      <w:r>
        <w:rPr>
          <w:rFonts w:ascii="Liberation Sans" w:hAnsi="Liberation Sans" w:eastAsia="Liberation Sans"/>
          <w:b w:val="0"/>
          <w:color w:val="1F2937"/>
          <w:sz w:val="18"/>
        </w:rPr>
        <w:t>рішенням педагогічної ради</w:t>
        <w:br/>
      </w:r>
      <w:r>
        <w:rPr>
          <w:rFonts w:ascii="Liberation Sans" w:hAnsi="Liberation Sans" w:eastAsia="Liberation Sans"/>
          <w:b w:val="0"/>
          <w:color w:val="1F2937"/>
          <w:sz w:val="18"/>
        </w:rPr>
        <w:t>[ПОВНА НАЗВА ЗАКЛАДУ ОСВІТИ]</w:t>
        <w:br/>
      </w:r>
      <w:r>
        <w:rPr>
          <w:rFonts w:ascii="Liberation Sans" w:hAnsi="Liberation Sans" w:eastAsia="Liberation Sans"/>
          <w:b w:val="0"/>
          <w:color w:val="1F2937"/>
          <w:sz w:val="18"/>
        </w:rPr>
        <w:t>протокол № ___ від «___» ________ 2026 р.</w:t>
        <w:br/>
      </w:r>
      <w:r>
        <w:br/>
      </w:r>
      <w:r>
        <w:rPr>
          <w:rFonts w:ascii="Liberation Sans" w:hAnsi="Liberation Sans" w:eastAsia="Liberation Sans"/>
          <w:b/>
          <w:color w:val="1F2937"/>
          <w:sz w:val="18"/>
        </w:rPr>
        <w:t>ВВЕДЕНО В ДІЮ</w:t>
        <w:br/>
      </w:r>
      <w:r>
        <w:rPr>
          <w:rFonts w:ascii="Liberation Sans" w:hAnsi="Liberation Sans" w:eastAsia="Liberation Sans"/>
          <w:b w:val="0"/>
          <w:color w:val="1F2937"/>
          <w:sz w:val="18"/>
        </w:rPr>
        <w:t>наказом керівника закладу</w:t>
        <w:br/>
      </w:r>
      <w:r>
        <w:rPr>
          <w:rFonts w:ascii="Liberation Sans" w:hAnsi="Liberation Sans" w:eastAsia="Liberation Sans"/>
          <w:b w:val="0"/>
          <w:color w:val="1F2937"/>
          <w:sz w:val="18"/>
        </w:rPr>
        <w:t>від «___» ________ 2026 р. № ___</w:t>
        <w:br/>
      </w:r>
    </w:p>
    <w:p>
      <w:pPr>
        <w:spacing w:before="700"/>
        <w:jc w:val="center"/>
      </w:pPr>
      <w:r>
        <w:rPr>
          <w:rFonts w:ascii="Liberation Sans" w:hAnsi="Liberation Sans" w:eastAsia="Liberation Sans"/>
          <w:b/>
          <w:color w:val="2F5597"/>
          <w:sz w:val="40"/>
        </w:rPr>
        <w:t>ПОЛОЖЕННЯ</w:t>
      </w:r>
    </w:p>
    <w:p>
      <w:pPr>
        <w:jc w:val="center"/>
      </w:pPr>
      <w:r>
        <w:rPr>
          <w:rFonts w:ascii="Liberation Sans" w:hAnsi="Liberation Sans" w:eastAsia="Liberation Sans"/>
          <w:b/>
          <w:color w:val="1F2937"/>
          <w:sz w:val="30"/>
        </w:rPr>
        <w:t>про внутрішню систему забезпечення якості освіти</w:t>
      </w:r>
    </w:p>
    <w:p>
      <w:pPr>
        <w:jc w:val="center"/>
      </w:pPr>
      <w:r>
        <w:rPr>
          <w:rFonts w:ascii="Liberation Sans" w:hAnsi="Liberation Sans" w:eastAsia="Liberation Sans"/>
          <w:b/>
          <w:color w:val="666666"/>
          <w:sz w:val="24"/>
        </w:rPr>
        <w:t>у [ПОВНА НАЗВА ЗАКЛАДУ ОСВІТИ]</w:t>
      </w:r>
    </w:p>
    <w:p>
      <w:pPr>
        <w:spacing w:before="1800"/>
        <w:jc w:val="center"/>
      </w:pPr>
      <w:r>
        <w:rPr>
          <w:rFonts w:ascii="Liberation Sans" w:hAnsi="Liberation Sans" w:eastAsia="Liberation Sans"/>
          <w:color w:val="666666"/>
          <w:sz w:val="20"/>
        </w:rPr>
        <w:t>[НАСЕЛЕНИЙ ПУНКТ] • 2026</w:t>
      </w:r>
    </w:p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95"/>
      </w:tblGrid>
      <w:tr>
        <w:tc>
          <w:tcPr>
            <w:tcW w:type="dxa" w:w="9695"/>
            <w:shd w:fill="EAF0F8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ВАЖЛИВО. Це орієнтовний зразок для адаптації, а не затверджена МОН типова форма. Перед введенням у дію заклад має звірити текст зі своїм статутом, освітньою програмою, іншими локальними актами та чинною на дату затвердження редакцією законодавства.</w:t>
            </w:r>
          </w:p>
        </w:tc>
      </w:tr>
    </w:tbl>
    <w:p>
      <w:pPr>
        <w:pStyle w:val="Heading1"/>
      </w:pPr>
      <w:r>
        <w:t>Як користуватися зразком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Замініть усі поля у квадратних дужках на дані свого закладу.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Не залишайте в Положенні процедури, яких школа фактично не застосовує. Внутрішня система має описувати реальні процеси, а не формальний перелік.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Якщо окремі процедури (академічна доброчесність, реагування на насильство, оцінювання, захист персональних даних тощо) врегульовані іншими локальними актами, у цьому Положенні достатньо зробити на них посилання.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Частини про використання штучного інтелекту та моделі самооцінювання можна адаптувати під рішення педагогічної ради і потреби закладу.</w:t>
      </w:r>
    </w:p>
    <w:p>
      <w:pPr>
        <w:pStyle w:val="Heading1"/>
      </w:pPr>
      <w:r>
        <w:t>Зміст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1. Загальні положення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2. Мета, завдання та принципи внутрішньої системи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3. Організація та відповідальність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4. Освітнє середовище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5. Система оцінювання результатів навчання учнів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6. Педагогічна діяльність працівників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7. Управлінські процеси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8. Академічна доброчесність та використання ШІ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9. Самооцінювання освітніх і управлінських процесів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10. Збір, аналіз і захист даних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11. Результати самооцінювання та вдосконалення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12. Відкритість і оприлюднення інформації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13. Перегляд Положення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Додаток 1. Орієнтовна матриця самооцінювання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Додаток 2. Орієнтовний цикл самооцінювання</w:t>
      </w:r>
    </w:p>
    <w:p>
      <w:pPr>
        <w:spacing w:after="20"/>
        <w:ind w:left="227"/>
      </w:pPr>
      <w:r>
        <w:rPr>
          <w:rFonts w:ascii="Liberation Sans" w:hAnsi="Liberation Sans" w:eastAsia="Liberation Sans"/>
          <w:color w:val="1F2937"/>
          <w:sz w:val="19"/>
        </w:rPr>
        <w:t>Нормативна база та джерела</w:t>
      </w:r>
    </w:p>
    <w:p>
      <w:r>
        <w:br w:type="page"/>
      </w:r>
    </w:p>
    <w:p>
      <w:pPr>
        <w:pStyle w:val="Heading1"/>
      </w:pPr>
      <w:r>
        <w:t>1. Загальні положення</w:t>
      </w:r>
    </w:p>
    <w:p>
      <w:r>
        <w:rPr>
          <w:rFonts w:ascii="Liberation Sans" w:hAnsi="Liberation Sans" w:eastAsia="Liberation Sans"/>
          <w:sz w:val="20"/>
        </w:rPr>
        <w:t>1.1. Це Положення визначає мету, принципи, основні компоненти, організацію, процедури та механізми функціонування внутрішньої системи забезпечення якості освіти у [ПОВНА НАЗВА ЗАКЛАДУ ОСВІТИ] (далі — Заклад).</w:t>
      </w:r>
    </w:p>
    <w:p>
      <w:r>
        <w:rPr>
          <w:rFonts w:ascii="Liberation Sans" w:hAnsi="Liberation Sans" w:eastAsia="Liberation Sans"/>
          <w:sz w:val="20"/>
        </w:rPr>
        <w:t>1.2. Внутрішня система забезпечення якості освіти є сукупністю умов, процедур, заходів і механізмів, спрямованих на забезпечення та постійне підвищення якості освітньої діяльності й результатів навчання, створення безпечного, доступного та доброчесного освітнього середовища.</w:t>
      </w:r>
    </w:p>
    <w:p>
      <w:r>
        <w:rPr>
          <w:rFonts w:ascii="Liberation Sans" w:hAnsi="Liberation Sans" w:eastAsia="Liberation Sans"/>
          <w:sz w:val="20"/>
        </w:rPr>
        <w:t>1.3. Положення розроблено з урахуванням законів України «Про освіту», «Про повну загальну середню освіту», «Про академічну доброчесність», інших актів законодавства у сфері освіти, статуту Закладу, освітньої програми та Методичних рекомендацій з питань формування внутрішньої системи забезпечення якості освіти у закладах загальної середньої освіти в редакції, затвердженій наказом МОН від 16.04.2026 № 641.</w:t>
      </w:r>
    </w:p>
    <w:p>
      <w:r>
        <w:rPr>
          <w:rFonts w:ascii="Liberation Sans" w:hAnsi="Liberation Sans" w:eastAsia="Liberation Sans"/>
          <w:sz w:val="20"/>
        </w:rPr>
        <w:t>1.4. Положення поширюється на освітні та управлінські процеси Закладу і застосовується з урахуванням академічної автономії, типу Закладу, його структури, контингенту учнів та умов організації освітнього процесу.</w:t>
      </w:r>
    </w:p>
    <w:p>
      <w:r>
        <w:rPr>
          <w:rFonts w:ascii="Liberation Sans" w:hAnsi="Liberation Sans" w:eastAsia="Liberation Sans"/>
          <w:sz w:val="20"/>
        </w:rPr>
        <w:t>1.5. Це Положення не замінює окремі локальні акти, прийняття яких передбачене законодавством або рішеннями Закладу. У разі суперечності між цим Положенням і актом законодавства застосовується акт законодавства.</w:t>
      </w:r>
    </w:p>
    <w:p>
      <w:pPr>
        <w:pStyle w:val="Heading1"/>
      </w:pPr>
      <w:r>
        <w:t>2. Мета, завдання та принципи внутрішньої системи</w:t>
      </w:r>
    </w:p>
    <w:p>
      <w:r>
        <w:rPr>
          <w:rFonts w:ascii="Liberation Sans" w:hAnsi="Liberation Sans" w:eastAsia="Liberation Sans"/>
          <w:sz w:val="20"/>
        </w:rPr>
        <w:t>2.1. Мета внутрішньої системи — створити дієвий механізм постійного вдосконалення освітньої діяльності Закладу, який допомагає своєчасно виявляти сильні сторони, ризики й проблеми та приймати обґрунтовані управлінські рішення.</w:t>
      </w:r>
    </w:p>
    <w:p>
      <w:r>
        <w:rPr>
          <w:rFonts w:ascii="Liberation Sans" w:hAnsi="Liberation Sans" w:eastAsia="Liberation Sans"/>
          <w:b/>
          <w:sz w:val="20"/>
        </w:rPr>
        <w:t>2.2. Основні завдання: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забезпечувати умови для досягнення учнями результатів навчання, визначених державними стандартами та освітньою програмою;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підтримувати безпечне, інклюзивне, недискримінаційне та психологічно комфортне освітнє середовище;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забезпечувати прозорі, зрозумілі та справедливі правила оцінювання;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створювати умови для професійного розвитку і якісної педагогічної діяльності;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формувати культуру академічної доброчесності та відповідального використання цифрових технологій;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збирати й аналізувати дані про якість освітніх та управлінських процесів і використовувати результати для планування розвитку Закладу.</w:t>
      </w:r>
    </w:p>
    <w:p>
      <w:r>
        <w:rPr>
          <w:rFonts w:ascii="Liberation Sans" w:hAnsi="Liberation Sans" w:eastAsia="Liberation Sans"/>
          <w:b/>
          <w:sz w:val="20"/>
        </w:rPr>
        <w:t>2.3. Принципи: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дитиноцентризм і пріоритет найкращих інтересів дитини;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академічна доброчесність;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об’єктивність і доказовість рішень;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прозорість та відкритість у межах, дозволених законодавством;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недискримінація та інклюзивність;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партнерство і залучення учасників освітнього процесу;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автономія Закладу та відповідальність за прийняті рішення;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постійне вдосконалення замість формального контролю.</w:t>
      </w:r>
    </w:p>
    <w:p>
      <w:pPr>
        <w:pStyle w:val="Heading1"/>
      </w:pPr>
      <w:r>
        <w:t>3. Організація та відповідальність</w:t>
      </w:r>
    </w:p>
    <w:p>
      <w:r>
        <w:rPr>
          <w:rFonts w:ascii="Liberation Sans" w:hAnsi="Liberation Sans" w:eastAsia="Liberation Sans"/>
          <w:sz w:val="20"/>
        </w:rPr>
        <w:t>3.1. Педагогічна рада формує внутрішню систему та затверджує процедури внутрішнього забезпечення якості освіти, включаючи систему та механізми забезпечення академічної доброчесності, у межах повноважень, визначених законодавством.</w:t>
      </w:r>
    </w:p>
    <w:p>
      <w:r>
        <w:rPr>
          <w:rFonts w:ascii="Liberation Sans" w:hAnsi="Liberation Sans" w:eastAsia="Liberation Sans"/>
          <w:sz w:val="20"/>
        </w:rPr>
        <w:t>3.2. Рішення педагогічної ради, прийняті в межах її повноважень, вводяться в дію наказами керівника Закладу.</w:t>
      </w:r>
    </w:p>
    <w:p>
      <w:r>
        <w:rPr>
          <w:rFonts w:ascii="Liberation Sans" w:hAnsi="Liberation Sans" w:eastAsia="Liberation Sans"/>
          <w:sz w:val="20"/>
        </w:rPr>
        <w:t>3.3. Керівник Закладу організовує функціонування внутрішньої системи, забезпечує виконання рішень педагогічної ради, визначає відповідальних осіб або робочі групи у випадках, коли це необхідно для реалізації конкретних процедур.</w:t>
      </w:r>
    </w:p>
    <w:p>
      <w:r>
        <w:rPr>
          <w:rFonts w:ascii="Liberation Sans" w:hAnsi="Liberation Sans" w:eastAsia="Liberation Sans"/>
          <w:sz w:val="20"/>
        </w:rPr>
        <w:t>3.4. До самооцінювання та вдосконалення якості можуть залучатися педагогічні працівники, учні, батьки, представники органів самоврядування, засновника та інші особи — у формах, що не суперечать законодавству.</w:t>
      </w:r>
    </w:p>
    <w:p>
      <w:r>
        <w:rPr>
          <w:rFonts w:ascii="Liberation Sans" w:hAnsi="Liberation Sans" w:eastAsia="Liberation Sans"/>
          <w:sz w:val="20"/>
        </w:rPr>
        <w:t>3.5. Створення постійної окремої «комісії з якості» не є самоціллю. Заклад визначає організаційну модель з урахуванням своїх потреб, кадрових ресурсів і обраної моделі самооцінювання.</w:t>
      </w:r>
    </w:p>
    <w:p>
      <w:pPr>
        <w:pStyle w:val="Heading1"/>
      </w:pPr>
      <w:r>
        <w:t>4. Освітнє середовище</w:t>
      </w:r>
    </w:p>
    <w:p>
      <w:r>
        <w:rPr>
          <w:rFonts w:ascii="Liberation Sans" w:hAnsi="Liberation Sans" w:eastAsia="Liberation Sans"/>
          <w:sz w:val="20"/>
        </w:rPr>
        <w:t>4.1. У межах внутрішньої системи Заклад оцінює, наскільки освітнє середовище забезпечує безпеку, доступність, інклюзивність, психологічний комфорт, повагу до гідності та прав усіх учасників освітнього процесу.</w:t>
      </w:r>
    </w:p>
    <w:p>
      <w:r>
        <w:rPr>
          <w:rFonts w:ascii="Liberation Sans" w:hAnsi="Liberation Sans" w:eastAsia="Liberation Sans"/>
          <w:b/>
          <w:sz w:val="20"/>
        </w:rPr>
        <w:t>4.2. Під час самооцінювання можуть вивчатися, зокрема: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умови безпечного перебування у приміщеннях і на території Закладу;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дотримання вимог щодо запобігання та протидії насильству, жорстокому поводженню і булінгу;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доступність освітнього середовища та розумне пристосування для осіб з особливими освітніми потребами;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психологічний комфорт, взаємоповага та відсутність дискримінаційних практик;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безпечне використання цифрових сервісів, освітніх інформаційних систем і персональних даних;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організація харчування, медичного обслуговування, цивільного захисту та охорони праці — у межах компетенції Закладу.</w:t>
      </w:r>
    </w:p>
    <w:p>
      <w:r>
        <w:rPr>
          <w:rFonts w:ascii="Liberation Sans" w:hAnsi="Liberation Sans" w:eastAsia="Liberation Sans"/>
          <w:sz w:val="20"/>
        </w:rPr>
        <w:t>4.3. Детальні алгоритми реагування на насильство, булінг, надзвичайні ситуації та інші ризики визначаються законодавством і відповідними локальними актами.</w:t>
      </w:r>
    </w:p>
    <w:p>
      <w:pPr>
        <w:pStyle w:val="Heading1"/>
      </w:pPr>
      <w:r>
        <w:t>5. Система оцінювання результатів навчання учнів</w:t>
      </w:r>
    </w:p>
    <w:p>
      <w:r>
        <w:rPr>
          <w:rFonts w:ascii="Liberation Sans" w:hAnsi="Liberation Sans" w:eastAsia="Liberation Sans"/>
          <w:sz w:val="20"/>
        </w:rPr>
        <w:t>5.1. Оцінювання результатів навчання здійснюється відповідно до законодавства, державних стандартів, освітньої та навчальних програм, з дотриманням принципів академічної доброчесності.</w:t>
      </w:r>
    </w:p>
    <w:p>
      <w:r>
        <w:rPr>
          <w:rFonts w:ascii="Liberation Sans" w:hAnsi="Liberation Sans" w:eastAsia="Liberation Sans"/>
          <w:sz w:val="20"/>
        </w:rPr>
        <w:t>5.2. У 2026/2027 навчальному році для 1–9 класів застосовуються Система та загальні критерії оцінювання результатів навчання учнів, затверджені наказом МОН від 04.05.2026 № 722, з урахуванням чинної редакції цього наказу та інших актів, що регулюють оцінювання на відповідному рівні освіти.</w:t>
      </w:r>
    </w:p>
    <w:p>
      <w:r>
        <w:rPr>
          <w:rFonts w:ascii="Liberation Sans" w:hAnsi="Liberation Sans" w:eastAsia="Liberation Sans"/>
          <w:sz w:val="20"/>
        </w:rPr>
        <w:t>5.3. Критерії, правила та процедури оцінювання мають бути зрозумілими учням і батькам та доводитися до їх відома у спосіб, визначений Закладом.</w:t>
      </w:r>
    </w:p>
    <w:p>
      <w:r>
        <w:rPr>
          <w:rFonts w:ascii="Liberation Sans" w:hAnsi="Liberation Sans" w:eastAsia="Liberation Sans"/>
          <w:sz w:val="20"/>
        </w:rPr>
        <w:t>5.4. Заклад аналізує не лише підсумкові оцінки, а й якість зворотного зв’язку, прозорість критеріїв, динаміку результатів, обґрунтованість оцінювання та використання його результатів для коригування навчання.</w:t>
      </w:r>
    </w:p>
    <w:p>
      <w:r>
        <w:rPr>
          <w:rFonts w:ascii="Liberation Sans" w:hAnsi="Liberation Sans" w:eastAsia="Liberation Sans"/>
          <w:sz w:val="20"/>
        </w:rPr>
        <w:t>5.5. Якщо факт порушення академічної доброчесності під час виконання навчальної роботи підтверджено в порядку, визначеному законом та локальними актами, заходи реагування застосовуються з дотриманням прав учня та принципу пропорційності.</w:t>
      </w:r>
    </w:p>
    <w:p>
      <w:pPr>
        <w:pStyle w:val="Heading1"/>
      </w:pPr>
      <w:r>
        <w:t>6. Педагогічна діяльність працівників</w:t>
      </w:r>
    </w:p>
    <w:p>
      <w:r>
        <w:rPr>
          <w:rFonts w:ascii="Liberation Sans" w:hAnsi="Liberation Sans" w:eastAsia="Liberation Sans"/>
          <w:sz w:val="20"/>
        </w:rPr>
        <w:t>6.1. Самооцінювання педагогічної діяльності спрямоване насамперед на професійний розвиток і вдосконалення освітнього процесу.</w:t>
      </w:r>
    </w:p>
    <w:p>
      <w:r>
        <w:rPr>
          <w:rFonts w:ascii="Liberation Sans" w:hAnsi="Liberation Sans" w:eastAsia="Liberation Sans"/>
          <w:b/>
          <w:sz w:val="20"/>
        </w:rPr>
        <w:t>6.2. Під час оцінювання якості педагогічної діяльності можуть аналізуватися: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планування й організація освітнього процесу;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використання компетентнісного, діяльнісного та особистісно орієнтованого підходів;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оцінювання та надання зворотного зв’язку учням;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професійний розвиток, самоосвіта, обмін досвідом;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використання цифрових технологій та ШІ з дотриманням академічної доброчесності, авторського права, конфіденційності та захисту персональних даних;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партнерська взаємодія з учнями, батьками і колегами.</w:t>
      </w:r>
    </w:p>
    <w:p>
      <w:r>
        <w:rPr>
          <w:rFonts w:ascii="Liberation Sans" w:hAnsi="Liberation Sans" w:eastAsia="Liberation Sans"/>
          <w:sz w:val="20"/>
        </w:rPr>
        <w:t>6.3. Результати внутрішнього оцінювання педагогічної діяльності не використовуються для створення публічних рейтингів працівників, якщо інше прямо не передбачено законодавством.</w:t>
      </w:r>
    </w:p>
    <w:p>
      <w:pPr>
        <w:pStyle w:val="Heading1"/>
      </w:pPr>
      <w:r>
        <w:t>7. Управлінські процеси</w:t>
      </w:r>
    </w:p>
    <w:p>
      <w:r>
        <w:rPr>
          <w:rFonts w:ascii="Liberation Sans" w:hAnsi="Liberation Sans" w:eastAsia="Liberation Sans"/>
          <w:sz w:val="20"/>
        </w:rPr>
        <w:t>7.1. У межах внутрішньої системи оцінюється ефективність планування, організації та комунікації управлінських процесів, їх орієнтованість на якість освіти та реалізацію стратегії розвитку Закладу.</w:t>
      </w:r>
    </w:p>
    <w:p>
      <w:r>
        <w:rPr>
          <w:rFonts w:ascii="Liberation Sans" w:hAnsi="Liberation Sans" w:eastAsia="Liberation Sans"/>
          <w:b/>
          <w:sz w:val="20"/>
        </w:rPr>
        <w:t>7.2. Предметом аналізу можуть бути: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стратегічне та річне планування;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прийняття управлінських рішень на основі даних;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кадрове забезпечення і підтримка професійного розвитку;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організація документообігу, інформаційних систем і комунікації;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дотримання автономії та участь органів громадського самоврядування;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ефективність використання результатів самооцінювання й зовнішнього оцінювання.</w:t>
      </w:r>
    </w:p>
    <w:p>
      <w:pPr>
        <w:pStyle w:val="Heading1"/>
      </w:pPr>
      <w:r>
        <w:t>8. Академічна доброчесність та використання штучного інтелекту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95"/>
      </w:tblGrid>
      <w:tr>
        <w:tc>
          <w:tcPr>
            <w:tcW w:type="dxa" w:w="9695"/>
            <w:shd w:fill="FFF4E5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З 31 липня 2026 року введено в дію Закон України «Про академічну доброчесність» № 4742-IX. Система забезпечення академічної доброчесності є складовою внутрішньої системи забезпечення якості освіти.</w:t>
            </w:r>
          </w:p>
        </w:tc>
      </w:tr>
    </w:tbl>
    <w:p>
      <w:r>
        <w:rPr>
          <w:rFonts w:ascii="Liberation Sans" w:hAnsi="Liberation Sans" w:eastAsia="Liberation Sans"/>
          <w:sz w:val="20"/>
        </w:rPr>
        <w:t>8.1. У Закладі формується система забезпечення академічної доброчесності, яка охоплює внутрішню політику, правила для навчальних робіт, заходи з формування культури доброчесності, визначення повноважень відповідальних органів/осіб, процедури розгляду повідомлень про можливі порушення, прийняття рішень та їх оскарження.</w:t>
      </w:r>
    </w:p>
    <w:p>
      <w:r>
        <w:rPr>
          <w:rFonts w:ascii="Liberation Sans" w:hAnsi="Liberation Sans" w:eastAsia="Liberation Sans"/>
          <w:sz w:val="20"/>
        </w:rPr>
        <w:t>8.2. Детальні процедури можуть бути викладені в окремому Положенні про академічну доброчесність або інших локальних актах. У такому разі вони є взаємопов’язаними з цим Положенням і внутрішньою системою забезпечення якості освіти.</w:t>
      </w:r>
    </w:p>
    <w:p>
      <w:r>
        <w:rPr>
          <w:rFonts w:ascii="Liberation Sans" w:hAnsi="Liberation Sans" w:eastAsia="Liberation Sans"/>
          <w:sz w:val="20"/>
        </w:rPr>
        <w:t>8.3. У частині, що стосується здобувачів освіти, внутрішні політики й процедури академічної доброчесності погоджуються з вищим органом самоврядування здобувачів освіти за його наявності — у випадках та порядку, передбачених законом.</w:t>
      </w:r>
    </w:p>
    <w:p>
      <w:r>
        <w:rPr>
          <w:rFonts w:ascii="Liberation Sans" w:hAnsi="Liberation Sans" w:eastAsia="Liberation Sans"/>
          <w:sz w:val="20"/>
        </w:rPr>
        <w:t>8.4. Заклад забезпечує ознайомлення учасників освітнього процесу з правилами академічної доброчесності та створює умови для доброчесного виконання навчальних завдань.</w:t>
      </w:r>
    </w:p>
    <w:p>
      <w:pPr>
        <w:pStyle w:val="Heading2"/>
      </w:pPr>
      <w:r>
        <w:t>8.5. Використання генеративного ШІ</w:t>
      </w:r>
    </w:p>
    <w:p>
      <w:r>
        <w:rPr>
          <w:rFonts w:ascii="Liberation Sans" w:hAnsi="Liberation Sans" w:eastAsia="Liberation Sans"/>
          <w:sz w:val="20"/>
        </w:rPr>
        <w:t>8.5.1. Заклад визначає зрозумілі правила використання генеративного штучного інтелекту в освітньому процесі з урахуванням віку учнів, цілей навчання, вимог до самостійності, захисту персональних даних і авторського права.</w:t>
      </w:r>
    </w:p>
    <w:p>
      <w:r>
        <w:rPr>
          <w:rFonts w:ascii="Liberation Sans" w:hAnsi="Liberation Sans" w:eastAsia="Liberation Sans"/>
          <w:sz w:val="20"/>
        </w:rPr>
        <w:t>8.5.2. Для конкретного завдання педагогічний працівник може визначати: чи дозволений ШІ; для яких етапів роботи; чи потрібно зазначати факт і спосіб його використання; яку частину результату учень має створити самостійно.</w:t>
      </w:r>
    </w:p>
    <w:p>
      <w:r>
        <w:rPr>
          <w:rFonts w:ascii="Liberation Sans" w:hAnsi="Liberation Sans" w:eastAsia="Liberation Sans"/>
          <w:sz w:val="20"/>
        </w:rPr>
        <w:t>8.5.3. Використання ШІ не оцінюється автоматично як порушення. Значення мають умови завдання, дозволені способи допомоги, самостійність роботи та внутрішні правила Закладу.</w:t>
      </w:r>
    </w:p>
    <w:p>
      <w:r>
        <w:rPr>
          <w:rFonts w:ascii="Liberation Sans" w:hAnsi="Liberation Sans" w:eastAsia="Liberation Sans"/>
          <w:sz w:val="20"/>
        </w:rPr>
        <w:t>8.5.4. Забороняється вводити до зовнішніх ШІ-сервісів персональні або конфіденційні дані учнів і працівників, якщо це не має належної правової підстави та відповідного рівня захисту.</w:t>
      </w:r>
    </w:p>
    <w:p>
      <w:pPr>
        <w:pStyle w:val="Heading1"/>
      </w:pPr>
      <w:r>
        <w:t>9. Самооцінювання освітніх і управлінських процесів</w:t>
      </w:r>
    </w:p>
    <w:p>
      <w:r>
        <w:rPr>
          <w:rFonts w:ascii="Liberation Sans" w:hAnsi="Liberation Sans" w:eastAsia="Liberation Sans"/>
          <w:sz w:val="20"/>
        </w:rPr>
        <w:t>9.1. Самооцінювання проводиться для визначення сильних сторін, проблем, ризиків, причин їх виникнення та напрямів подальшого розвитку Закладу.</w:t>
      </w:r>
    </w:p>
    <w:p>
      <w:r>
        <w:rPr>
          <w:rFonts w:ascii="Liberation Sans" w:hAnsi="Liberation Sans" w:eastAsia="Liberation Sans"/>
          <w:sz w:val="20"/>
        </w:rPr>
        <w:t>9.2. Заклад самостійно визначає модель, періодичність, обсяг, критерії, індикатори, джерела інформації та методи самооцінювання з урахуванням методичних рекомендацій МОН/ДСЯО, стратегії розвитку та поточних потреб.</w:t>
      </w:r>
    </w:p>
    <w:p>
      <w:r>
        <w:rPr>
          <w:rFonts w:ascii="Liberation Sans" w:hAnsi="Liberation Sans" w:eastAsia="Liberation Sans"/>
          <w:sz w:val="20"/>
        </w:rPr>
        <w:t>9.3. За рішенням педагогічної ради може застосовуватися комплексна модель, оцінювання за окремими напрямами, оцінювання за рівнями освіти або власна комбінована модель.</w:t>
      </w:r>
    </w:p>
    <w:p>
      <w:r>
        <w:rPr>
          <w:rFonts w:ascii="Liberation Sans" w:hAnsi="Liberation Sans" w:eastAsia="Liberation Sans"/>
          <w:sz w:val="20"/>
        </w:rPr>
        <w:t>9.4. Самооцінювання не повинно перетворюватися на надмірний збір документів. Перевага надається даним, які дають змогу приймати конкретні рішення щодо поліпшення якості.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32"/>
        <w:gridCol w:w="3232"/>
        <w:gridCol w:w="3232"/>
      </w:tblGrid>
      <w:tr>
        <w:tc>
          <w:tcPr>
            <w:tcW w:type="dxa" w:w="2268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Модель</w:t>
            </w:r>
          </w:p>
        </w:tc>
        <w:tc>
          <w:tcPr>
            <w:tcW w:type="dxa" w:w="3402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Коли доцільна</w:t>
            </w:r>
          </w:p>
        </w:tc>
        <w:tc>
          <w:tcPr>
            <w:tcW w:type="dxa" w:w="3685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Що врахувати</w:t>
            </w:r>
          </w:p>
        </w:tc>
      </w:tr>
      <w:tr>
        <w:tc>
          <w:tcPr>
            <w:tcW w:type="dxa" w:w="226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Комплексна</w:t>
            </w:r>
          </w:p>
        </w:tc>
        <w:tc>
          <w:tcPr>
            <w:tcW w:type="dxa" w:w="340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Потрібна цілісна картина роботи Закладу або підготовка до перегляду стратегії.</w:t>
            </w:r>
          </w:p>
        </w:tc>
        <w:tc>
          <w:tcPr>
            <w:tcW w:type="dxa" w:w="368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Потребує більше часу та даних; не варто проводити формально щороку лише заради звіту.</w:t>
            </w:r>
          </w:p>
        </w:tc>
      </w:tr>
      <w:tr>
        <w:tc>
          <w:tcPr>
            <w:tcW w:type="dxa" w:w="226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За окремими напрямами</w:t>
            </w:r>
          </w:p>
        </w:tc>
        <w:tc>
          <w:tcPr>
            <w:tcW w:type="dxa" w:w="340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Є пріоритетна проблема: оцінювання, безпека, педагогічна діяльність, управління тощо.</w:t>
            </w:r>
          </w:p>
        </w:tc>
        <w:tc>
          <w:tcPr>
            <w:tcW w:type="dxa" w:w="368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Дає змогу глибше дослідити конкретний напрям і запланувати зміни.</w:t>
            </w:r>
          </w:p>
        </w:tc>
      </w:tr>
      <w:tr>
        <w:tc>
          <w:tcPr>
            <w:tcW w:type="dxa" w:w="226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За рівнями освіти</w:t>
            </w:r>
          </w:p>
        </w:tc>
        <w:tc>
          <w:tcPr>
            <w:tcW w:type="dxa" w:w="340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Заклад має кілька рівнів/структурних ланок із різними потребами.</w:t>
            </w:r>
          </w:p>
        </w:tc>
        <w:tc>
          <w:tcPr>
            <w:tcW w:type="dxa" w:w="368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Критерії та методи треба адаптувати до віку учнів і специфіки рівня.</w:t>
            </w:r>
          </w:p>
        </w:tc>
      </w:tr>
      <w:tr>
        <w:tc>
          <w:tcPr>
            <w:tcW w:type="dxa" w:w="226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Власна / комбінована</w:t>
            </w:r>
          </w:p>
        </w:tc>
        <w:tc>
          <w:tcPr>
            <w:tcW w:type="dxa" w:w="340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Потрібно поєднати кілька підходів або дослідити локальну проблему.</w:t>
            </w:r>
          </w:p>
        </w:tc>
        <w:tc>
          <w:tcPr>
            <w:tcW w:type="dxa" w:w="368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Модель має бути зрозумілою, посильною та давати дані для рішень.</w:t>
            </w:r>
          </w:p>
        </w:tc>
      </w:tr>
    </w:tbl>
    <w:p>
      <w:pPr>
        <w:spacing w:after="0"/>
      </w:pPr>
    </w:p>
    <w:p>
      <w:pPr>
        <w:pStyle w:val="Heading1"/>
      </w:pPr>
      <w:r>
        <w:t>10. Збір, аналіз і захист даних</w:t>
      </w:r>
    </w:p>
    <w:p>
      <w:r>
        <w:rPr>
          <w:rFonts w:ascii="Liberation Sans" w:hAnsi="Liberation Sans" w:eastAsia="Liberation Sans"/>
          <w:b/>
          <w:sz w:val="20"/>
        </w:rPr>
        <w:t>10.1. Для самооцінювання можуть використовуватися: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анкетування та опитування;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інтерв’ю та фокус-групи;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спостереження за освітнім процесом і середовищем;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вивчення документації;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аналіз результатів навчання та внутрішнього моніторингу;</w:t>
      </w:r>
    </w:p>
    <w:p>
      <w:pPr>
        <w:pStyle w:val="ListBullet"/>
        <w:spacing w:after="40"/>
      </w:pPr>
      <w:r>
        <w:rPr>
          <w:rFonts w:ascii="Liberation Sans" w:hAnsi="Liberation Sans" w:eastAsia="Liberation Sans"/>
          <w:sz w:val="20"/>
        </w:rPr>
        <w:t>аналіз звернень, скарг, пропозицій, відвідуваності, участі в заходах та інших даних, якщо їх використання є законним і доцільним.</w:t>
      </w:r>
    </w:p>
    <w:p>
      <w:r>
        <w:rPr>
          <w:rFonts w:ascii="Liberation Sans" w:hAnsi="Liberation Sans" w:eastAsia="Liberation Sans"/>
          <w:sz w:val="20"/>
        </w:rPr>
        <w:t>10.2. Для кожного дослідження доцільно заздалегідь визначити питання, джерело даних, відповідальних, строки, спосіб аналізу та очікуване управлінське рішення.</w:t>
      </w:r>
    </w:p>
    <w:p>
      <w:r>
        <w:rPr>
          <w:rFonts w:ascii="Liberation Sans" w:hAnsi="Liberation Sans" w:eastAsia="Liberation Sans"/>
          <w:sz w:val="20"/>
        </w:rPr>
        <w:t>10.3. Під час збору, зберігання, передачі, аналізу та оприлюднення інформації Заклад дотримується законодавства про захист персональних даних та обмеження доступу до інформації.</w:t>
      </w:r>
    </w:p>
    <w:p>
      <w:r>
        <w:rPr>
          <w:rFonts w:ascii="Liberation Sans" w:hAnsi="Liberation Sans" w:eastAsia="Liberation Sans"/>
          <w:sz w:val="20"/>
        </w:rPr>
        <w:t>10.4. Результати опитувань і спостережень, які оприлюднюються, подаються переважно в узагальненому вигляді, що не дозволяє ідентифікувати конкретну особу без належної правової підстави.</w:t>
      </w:r>
    </w:p>
    <w:p>
      <w:pPr>
        <w:pStyle w:val="Heading1"/>
      </w:pPr>
      <w:r>
        <w:t>11. Результати самооцінювання та вдосконалення</w:t>
      </w:r>
    </w:p>
    <w:p>
      <w:r>
        <w:rPr>
          <w:rFonts w:ascii="Liberation Sans" w:hAnsi="Liberation Sans" w:eastAsia="Liberation Sans"/>
          <w:sz w:val="20"/>
        </w:rPr>
        <w:t>11.1. За результатами самооцінювання готуються висновки у формі, визначеній Закладом: аналітична довідка, звіт, презентація, записка, рішення педагогічної ради або інший документ.</w:t>
      </w:r>
    </w:p>
    <w:p>
      <w:r>
        <w:rPr>
          <w:rFonts w:ascii="Liberation Sans" w:hAnsi="Liberation Sans" w:eastAsia="Liberation Sans"/>
          <w:sz w:val="20"/>
        </w:rPr>
        <w:t>11.2. Висновки мають містити не лише опис стану справ, а й визначені проблеми, можливі причини, пріоритети та конкретні заходи реагування.</w:t>
      </w:r>
    </w:p>
    <w:p>
      <w:r>
        <w:rPr>
          <w:rFonts w:ascii="Liberation Sans" w:hAnsi="Liberation Sans" w:eastAsia="Liberation Sans"/>
          <w:sz w:val="20"/>
        </w:rPr>
        <w:t>11.3. Заходи за результатами самооцінювання враховуються у стратегії розвитку, річному плані роботи, планах професійного розвитку, освітній програмі та інших документах — залежно від характеру виявленої проблеми.</w:t>
      </w:r>
    </w:p>
    <w:p>
      <w:r>
        <w:rPr>
          <w:rFonts w:ascii="Liberation Sans" w:hAnsi="Liberation Sans" w:eastAsia="Liberation Sans"/>
          <w:sz w:val="20"/>
        </w:rPr>
        <w:t>11.4. На наступному циклі Заклад перевіряє, чи виконані заплановані заходи та чи дали вони очікуваний результат.</w:t>
      </w:r>
    </w:p>
    <w:p>
      <w:pPr>
        <w:pStyle w:val="Heading1"/>
      </w:pPr>
      <w:r>
        <w:t>12. Відкритість і оприлюднення інформації</w:t>
      </w:r>
    </w:p>
    <w:p>
      <w:r>
        <w:rPr>
          <w:rFonts w:ascii="Liberation Sans" w:hAnsi="Liberation Sans" w:eastAsia="Liberation Sans"/>
          <w:sz w:val="20"/>
        </w:rPr>
        <w:t>12.1. Заклад забезпечує відкритість інформації про внутрішню систему в обсязі, передбаченому законодавством та локальними актами.</w:t>
      </w:r>
    </w:p>
    <w:p>
      <w:r>
        <w:rPr>
          <w:rFonts w:ascii="Liberation Sans" w:hAnsi="Liberation Sans" w:eastAsia="Liberation Sans"/>
          <w:sz w:val="20"/>
        </w:rPr>
        <w:t>12.2. Внутрішні акти з питань академічної доброчесності оприлюднюються у порядку, передбаченому Законом України «Про академічну доброчесність».</w:t>
      </w:r>
    </w:p>
    <w:p>
      <w:r>
        <w:rPr>
          <w:rFonts w:ascii="Liberation Sans" w:hAnsi="Liberation Sans" w:eastAsia="Liberation Sans"/>
          <w:sz w:val="20"/>
        </w:rPr>
        <w:t>12.3. Під час оприлюднення результатів самооцінювання не допускається розголошення персональних даних, інформації з обмеженим доступом або відомостей, які можуть завдати шкоди правам та інтересам дитини.</w:t>
      </w:r>
    </w:p>
    <w:p>
      <w:pPr>
        <w:pStyle w:val="Heading1"/>
      </w:pPr>
      <w:r>
        <w:t>13. Перегляд Положення</w:t>
      </w:r>
    </w:p>
    <w:p>
      <w:r>
        <w:rPr>
          <w:rFonts w:ascii="Liberation Sans" w:hAnsi="Liberation Sans" w:eastAsia="Liberation Sans"/>
          <w:sz w:val="20"/>
        </w:rPr>
        <w:t>13.1. Положення переглядається у разі зміни законодавства, стратегії розвитку Закладу, структури внутрішньої системи, результатів самооцінювання або виникнення потреби в удосконаленні процедур.</w:t>
      </w:r>
    </w:p>
    <w:p>
      <w:r>
        <w:rPr>
          <w:rFonts w:ascii="Liberation Sans" w:hAnsi="Liberation Sans" w:eastAsia="Liberation Sans"/>
          <w:sz w:val="20"/>
        </w:rPr>
        <w:t>13.2. Положення не потребує автоматичного перезатвердження щороку, якщо в ньому не встановлено строк дії та воно відповідає чинним вимогам і фактичній організації роботи Закладу.</w:t>
      </w:r>
    </w:p>
    <w:p>
      <w:r>
        <w:rPr>
          <w:rFonts w:ascii="Liberation Sans" w:hAnsi="Liberation Sans" w:eastAsia="Liberation Sans"/>
          <w:sz w:val="20"/>
        </w:rPr>
        <w:t>13.3. Зміни до Положення або нова редакція розглядаються педагогічною радою. Рішення педагогічної ради вводиться в дію наказом керівника Закладу.</w:t>
      </w:r>
    </w:p>
    <w:p>
      <w:r>
        <w:br w:type="page"/>
      </w:r>
    </w:p>
    <w:p>
      <w:pPr>
        <w:pStyle w:val="Heading1"/>
      </w:pPr>
      <w:r>
        <w:t>Додаток 1. Орієнтовна матриця самооцінювання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95"/>
      </w:tblGrid>
      <w:tr>
        <w:tc>
          <w:tcPr>
            <w:tcW w:type="dxa" w:w="9695"/>
            <w:shd w:fill="EAF0F8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Матриця нижче — робочий зразок. Заклад може змінювати критерії, індикатори, джерела даних і періодичність відповідно до обраної моделі самооцінювання.</w:t>
            </w:r>
          </w:p>
        </w:tc>
      </w:tr>
    </w:tbl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16"/>
        <w:gridCol w:w="1616"/>
        <w:gridCol w:w="1616"/>
        <w:gridCol w:w="1616"/>
        <w:gridCol w:w="1616"/>
        <w:gridCol w:w="1616"/>
      </w:tblGrid>
      <w:tr>
        <w:tc>
          <w:tcPr>
            <w:tcW w:type="dxa" w:w="1474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Напрям</w:t>
            </w:r>
          </w:p>
        </w:tc>
        <w:tc>
          <w:tcPr>
            <w:tcW w:type="dxa" w:w="1701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Критерій</w:t>
            </w:r>
          </w:p>
        </w:tc>
        <w:tc>
          <w:tcPr>
            <w:tcW w:type="dxa" w:w="2948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Орієнтовний індикатор</w:t>
            </w:r>
          </w:p>
        </w:tc>
        <w:tc>
          <w:tcPr>
            <w:tcW w:type="dxa" w:w="2665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Джерела даних</w:t>
            </w:r>
          </w:p>
        </w:tc>
        <w:tc>
          <w:tcPr>
            <w:tcW w:type="dxa" w:w="1417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Відповідальний</w:t>
            </w:r>
          </w:p>
        </w:tc>
        <w:tc>
          <w:tcPr>
            <w:tcW w:type="dxa" w:w="1134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Коли</w:t>
            </w:r>
          </w:p>
        </w:tc>
      </w:tr>
      <w:tr>
        <w:tc>
          <w:tcPr>
            <w:tcW w:type="dxa" w:w="147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1. Освітнє середовище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Безпека і комфорт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Учні та працівники знають алгоритми дій; ризики виявляються; є заходи реагування.</w:t>
            </w:r>
          </w:p>
        </w:tc>
        <w:tc>
          <w:tcPr>
            <w:tcW w:type="dxa" w:w="266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Спостереження; опитування; аналіз звернень і локальних актів.</w:t>
            </w:r>
          </w:p>
        </w:tc>
        <w:tc>
          <w:tcPr>
            <w:tcW w:type="dxa" w:w="141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[відповідальний]</w:t>
            </w:r>
          </w:p>
        </w:tc>
        <w:tc>
          <w:tcPr>
            <w:tcW w:type="dxa" w:w="113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[строк]</w:t>
            </w:r>
          </w:p>
        </w:tc>
      </w:tr>
      <w:tr>
        <w:tc>
          <w:tcPr>
            <w:tcW w:type="dxa" w:w="147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1. Освітнє середовище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Інклюзивність і доступність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Потреби учнів враховуються; бар’єри ідентифікуються та по можливості усуваються.</w:t>
            </w:r>
          </w:p>
        </w:tc>
        <w:tc>
          <w:tcPr>
            <w:tcW w:type="dxa" w:w="266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Спостереження; аналіз ІПР/організації підтримки без розголошення персональних даних.</w:t>
            </w:r>
          </w:p>
        </w:tc>
        <w:tc>
          <w:tcPr>
            <w:tcW w:type="dxa" w:w="141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  <w:tc>
          <w:tcPr>
            <w:tcW w:type="dxa" w:w="113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</w:tr>
      <w:tr>
        <w:tc>
          <w:tcPr>
            <w:tcW w:type="dxa" w:w="147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2. Оцінювання учнів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Прозорість критеріїв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Учні знають критерії; оцінювання відповідає заявленим правилам.</w:t>
            </w:r>
          </w:p>
        </w:tc>
        <w:tc>
          <w:tcPr>
            <w:tcW w:type="dxa" w:w="266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Опитування; спостереження; аналіз навчальних матеріалів.</w:t>
            </w:r>
          </w:p>
        </w:tc>
        <w:tc>
          <w:tcPr>
            <w:tcW w:type="dxa" w:w="141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  <w:tc>
          <w:tcPr>
            <w:tcW w:type="dxa" w:w="113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</w:tr>
      <w:tr>
        <w:tc>
          <w:tcPr>
            <w:tcW w:type="dxa" w:w="147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2. Оцінювання учнів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Зворотний зв’язок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Оцінювання допомагає учню зрозуміти прогрес і наступні кроки.</w:t>
            </w:r>
          </w:p>
        </w:tc>
        <w:tc>
          <w:tcPr>
            <w:tcW w:type="dxa" w:w="266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Спостереження; опитування; аналіз робіт.</w:t>
            </w:r>
          </w:p>
        </w:tc>
        <w:tc>
          <w:tcPr>
            <w:tcW w:type="dxa" w:w="141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  <w:tc>
          <w:tcPr>
            <w:tcW w:type="dxa" w:w="113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</w:tr>
      <w:tr>
        <w:tc>
          <w:tcPr>
            <w:tcW w:type="dxa" w:w="147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3. Педагогічна діяльність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Організація навчання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Методи відповідають цілям; є активна участь учнів і диференціація.</w:t>
            </w:r>
          </w:p>
        </w:tc>
        <w:tc>
          <w:tcPr>
            <w:tcW w:type="dxa" w:w="266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Спостереження; самоаналіз педагогів; опитування.</w:t>
            </w:r>
          </w:p>
        </w:tc>
        <w:tc>
          <w:tcPr>
            <w:tcW w:type="dxa" w:w="141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  <w:tc>
          <w:tcPr>
            <w:tcW w:type="dxa" w:w="113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</w:tr>
      <w:tr>
        <w:tc>
          <w:tcPr>
            <w:tcW w:type="dxa" w:w="147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3. Педагогічна діяльність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Професійний розвиток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Підвищення кваліфікації пов’язане з реальними потребами Закладу та вчителя.</w:t>
            </w:r>
          </w:p>
        </w:tc>
        <w:tc>
          <w:tcPr>
            <w:tcW w:type="dxa" w:w="266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Плани/результати професійного розвитку; опитування.</w:t>
            </w:r>
          </w:p>
        </w:tc>
        <w:tc>
          <w:tcPr>
            <w:tcW w:type="dxa" w:w="141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  <w:tc>
          <w:tcPr>
            <w:tcW w:type="dxa" w:w="113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</w:tr>
      <w:tr>
        <w:tc>
          <w:tcPr>
            <w:tcW w:type="dxa" w:w="147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4. Управлінські процеси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Планування на основі даних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Річний план містить заходи, що випливають із виявлених проблем і стратегії.</w:t>
            </w:r>
          </w:p>
        </w:tc>
        <w:tc>
          <w:tcPr>
            <w:tcW w:type="dxa" w:w="266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Аналіз стратегії, річного плану, рішень педради.</w:t>
            </w:r>
          </w:p>
        </w:tc>
        <w:tc>
          <w:tcPr>
            <w:tcW w:type="dxa" w:w="141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  <w:tc>
          <w:tcPr>
            <w:tcW w:type="dxa" w:w="113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</w:tr>
      <w:tr>
        <w:tc>
          <w:tcPr>
            <w:tcW w:type="dxa" w:w="147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4. Управлінські процеси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Комунікація і залучення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Учасники розуміють рішення та мають реальні канали участі й зворотного зв’язку.</w:t>
            </w:r>
          </w:p>
        </w:tc>
        <w:tc>
          <w:tcPr>
            <w:tcW w:type="dxa" w:w="266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Опитування; аналіз комунікацій; протоколи органів самоврядування.</w:t>
            </w:r>
          </w:p>
        </w:tc>
        <w:tc>
          <w:tcPr>
            <w:tcW w:type="dxa" w:w="141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  <w:tc>
          <w:tcPr>
            <w:tcW w:type="dxa" w:w="113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</w:tr>
      <w:tr>
        <w:tc>
          <w:tcPr>
            <w:tcW w:type="dxa" w:w="147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Наскрізно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Академічна доброчесність</w:t>
            </w:r>
          </w:p>
        </w:tc>
        <w:tc>
          <w:tcPr>
            <w:tcW w:type="dxa" w:w="294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Правила відомі; процедури визначені; навчальні завдання містять зрозумілі вимоги до самостійності й ШІ.</w:t>
            </w:r>
          </w:p>
        </w:tc>
        <w:tc>
          <w:tcPr>
            <w:tcW w:type="dxa" w:w="266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Локальні акти; опитування; аналіз завдань та інформаційних матеріалів.</w:t>
            </w:r>
          </w:p>
        </w:tc>
        <w:tc>
          <w:tcPr>
            <w:tcW w:type="dxa" w:w="141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  <w:tc>
          <w:tcPr>
            <w:tcW w:type="dxa" w:w="113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5"/>
              </w:rPr>
              <w:t>[ ]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Додаток 2. Орієнтовний цикл самооцінювання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47"/>
        <w:gridCol w:w="4847"/>
      </w:tblGrid>
      <w:tr>
        <w:tc>
          <w:tcPr>
            <w:tcW w:type="dxa" w:w="2835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8"/>
              </w:rPr>
              <w:t>Етап</w:t>
            </w:r>
          </w:p>
        </w:tc>
        <w:tc>
          <w:tcPr>
            <w:tcW w:type="dxa" w:w="7370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8"/>
              </w:rPr>
              <w:t>Практичне питання</w:t>
            </w:r>
          </w:p>
        </w:tc>
      </w:tr>
      <w:tr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1. Визначити пріоритет</w:t>
            </w:r>
          </w:p>
        </w:tc>
        <w:tc>
          <w:tcPr>
            <w:tcW w:type="dxa" w:w="737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Обрати проблему/напрям на підставі стратегії, результатів попереднього року, звернень, змін законодавства або інших даних.</w:t>
            </w:r>
          </w:p>
        </w:tc>
      </w:tr>
      <w:tr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2. Сформулювати питання</w:t>
            </w:r>
          </w:p>
        </w:tc>
        <w:tc>
          <w:tcPr>
            <w:tcW w:type="dxa" w:w="737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Що саме школа хоче з’ясувати? Яке рішення буде прийнято залежно від результату?</w:t>
            </w:r>
          </w:p>
        </w:tc>
      </w:tr>
      <w:tr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3. Обрати дані й методи</w:t>
            </w:r>
          </w:p>
        </w:tc>
        <w:tc>
          <w:tcPr>
            <w:tcW w:type="dxa" w:w="737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Не збирати зайвого. Визначити мінімальний набір надійних джерел.</w:t>
            </w:r>
          </w:p>
        </w:tc>
      </w:tr>
      <w:tr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4. Провести дослідження</w:t>
            </w:r>
          </w:p>
        </w:tc>
        <w:tc>
          <w:tcPr>
            <w:tcW w:type="dxa" w:w="737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Забезпечити добровільність/конфіденційність там, де це потрібно; уникати дублювання опитувань.</w:t>
            </w:r>
          </w:p>
        </w:tc>
      </w:tr>
      <w:tr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5. Проаналізувати</w:t>
            </w:r>
          </w:p>
        </w:tc>
        <w:tc>
          <w:tcPr>
            <w:tcW w:type="dxa" w:w="737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Відокремити факти від припущень; порівняти кілька джерел інформації.</w:t>
            </w:r>
          </w:p>
        </w:tc>
      </w:tr>
      <w:tr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6. Прийняти рішення</w:t>
            </w:r>
          </w:p>
        </w:tc>
        <w:tc>
          <w:tcPr>
            <w:tcW w:type="dxa" w:w="737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Визначити 2–5 конкретних заходів, відповідальних, строки та очікуваний результат.</w:t>
            </w:r>
          </w:p>
        </w:tc>
      </w:tr>
      <w:tr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7. Включити до планування</w:t>
            </w:r>
          </w:p>
        </w:tc>
        <w:tc>
          <w:tcPr>
            <w:tcW w:type="dxa" w:w="737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Перенести заходи до річного плану, плану професійного розвитку або іншого відповідного документа.</w:t>
            </w:r>
          </w:p>
        </w:tc>
      </w:tr>
      <w:tr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8. Перевірити результат</w:t>
            </w:r>
          </w:p>
        </w:tc>
        <w:tc>
          <w:tcPr>
            <w:tcW w:type="dxa" w:w="737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На наступному циклі оцінити, що змінилося, і за потреби скоригувати рішення.</w:t>
            </w:r>
          </w:p>
        </w:tc>
      </w:tr>
    </w:tbl>
    <w:p>
      <w:pPr>
        <w:spacing w:after="0"/>
      </w:pPr>
    </w:p>
    <w:p>
      <w:pPr>
        <w:pStyle w:val="Heading1"/>
      </w:pPr>
      <w:r>
        <w:t>Нормативна база та джерела</w:t>
      </w:r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1">
        <w:r>
          <w:rPr>
            <w:rFonts w:ascii="Liberation Sans" w:hAnsi="Liberation Sans" w:eastAsia="Liberation Sans"/>
            <w:color w:val="2F5597"/>
            <w:u w:val="single"/>
          </w:rPr>
          <w:t>Закон України «Про освіту» № 2145-VIII — Верховна Рада України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2">
        <w:r>
          <w:rPr>
            <w:rFonts w:ascii="Liberation Sans" w:hAnsi="Liberation Sans" w:eastAsia="Liberation Sans"/>
            <w:color w:val="2F5597"/>
            <w:u w:val="single"/>
          </w:rPr>
          <w:t>Закон України «Про повну загальну середню освіту» № 463-IX — Верховна Рада України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3">
        <w:r>
          <w:rPr>
            <w:rFonts w:ascii="Liberation Sans" w:hAnsi="Liberation Sans" w:eastAsia="Liberation Sans"/>
            <w:color w:val="2F5597"/>
            <w:u w:val="single"/>
          </w:rPr>
          <w:t>Закон України «Про академічну доброчесність» № 4742-IX — Верховна Рада України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4">
        <w:r>
          <w:rPr>
            <w:rFonts w:ascii="Liberation Sans" w:hAnsi="Liberation Sans" w:eastAsia="Liberation Sans"/>
            <w:color w:val="2F5597"/>
            <w:u w:val="single"/>
          </w:rPr>
          <w:t>Оновлені Методичні рекомендації щодо внутрішньої системи забезпечення якості освіти у ЗЗСО (наказ МОН від 16.04.2026 № 641) — ДСЯО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5">
        <w:r>
          <w:rPr>
            <w:rFonts w:ascii="Liberation Sans" w:hAnsi="Liberation Sans" w:eastAsia="Liberation Sans"/>
            <w:color w:val="2F5597"/>
            <w:u w:val="single"/>
          </w:rPr>
          <w:t>Наказ МОН від 04.05.2026 № 722 «Про затвердження системи та загальних критеріїв оцінювання результатів навчання учнів»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6">
        <w:r>
          <w:rPr>
            <w:rFonts w:ascii="Liberation Sans" w:hAnsi="Liberation Sans" w:eastAsia="Liberation Sans"/>
            <w:color w:val="2F5597"/>
            <w:u w:val="single"/>
          </w:rPr>
          <w:t>Наказ МОН від 18.06.2026 № 961 щодо реагування на випадки булінгу та заходів виховного впливу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7">
        <w:r>
          <w:rPr>
            <w:rFonts w:ascii="Liberation Sans" w:hAnsi="Liberation Sans" w:eastAsia="Liberation Sans"/>
            <w:color w:val="2F5597"/>
            <w:u w:val="single"/>
          </w:rPr>
          <w:t>ДСЯО: «Підготовка до 2026/2027 навчального року: на що звернути увагу директорові ЗЗСО»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>Актуальність нормативних посилань перевірено станом на 26 серпня 2026 року. Перед затвердженням локального акта перевірте поточні редакції документів на офіційному порталі Верховної Ради України та сайтах МОН/ДСЯО.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964" w:bottom="964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Liberation Sans" w:hAnsi="Liberation Sans" w:eastAsia="Liberation Sans"/>
        <w:color w:val="666666"/>
        <w:sz w:val="16"/>
      </w:rPr>
      <w:t>Зразок для адаптації • osvitnii.net.ua • актуально на 26.08.2026</w:t>
    </w:r>
  </w:p>
  <w:p>
    <w:pPr>
      <w:jc w:val="right"/>
    </w:pPr>
    <w:r>
      <w:rPr>
        <w:rFonts w:ascii="Liberation Sans" w:hAnsi="Liberation Sans" w:eastAsia="Liberation Sans"/>
        <w:color w:val="666666"/>
        <w:sz w:val="16"/>
      </w:rPr>
      <w:t xml:space="preserve">Стор.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 w:eastAsia="Liberation Sans"/>
        <w:color w:val="666666"/>
        <w:sz w:val="16"/>
      </w:rPr>
      <w:t>Положення про внутрішню систему забезпечення якості освіти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Liberation Sans" w:hAnsi="Liberation Sans" w:eastAsia="Liberation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2F559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F293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F2937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2F5597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Small">
    <w:name w:val="Note Small"/>
    <w:pPr>
      <w:spacing w:after="60" w:line="240" w:lineRule="auto"/>
    </w:pPr>
    <w:rPr>
      <w:rFonts w:ascii="Liberation Sans" w:hAnsi="Liberation Sans" w:eastAsia="Liberation Sans"/>
      <w:color w:val="66666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zakon.rada.gov.ua/laws/show/2145-19#Text" TargetMode="External"/><Relationship Id="rId12" Type="http://schemas.openxmlformats.org/officeDocument/2006/relationships/hyperlink" Target="https://zakon.rada.gov.ua/laws/show/463-20#Text" TargetMode="External"/><Relationship Id="rId13" Type="http://schemas.openxmlformats.org/officeDocument/2006/relationships/hyperlink" Target="https://zakon.rada.gov.ua/laws/show/4742-20#Text" TargetMode="External"/><Relationship Id="rId14" Type="http://schemas.openxmlformats.org/officeDocument/2006/relationships/hyperlink" Target="https://sqe.gov.ua/metod-rek-zzso-2026/" TargetMode="External"/><Relationship Id="rId15" Type="http://schemas.openxmlformats.org/officeDocument/2006/relationships/hyperlink" Target="https://zakon.rada.gov.ua/laws/show/z0922-26#Text" TargetMode="External"/><Relationship Id="rId16" Type="http://schemas.openxmlformats.org/officeDocument/2006/relationships/hyperlink" Target="https://zakon.rada.gov.ua/laws/show/z1078-26#Text" TargetMode="External"/><Relationship Id="rId17" Type="http://schemas.openxmlformats.org/officeDocument/2006/relationships/hyperlink" Target="https://sqe.gov.ua/pidgotovka-2026-2027-n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