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40" w:lineRule="auto"/>
        <w:jc w:val="right"/>
      </w:pPr>
      <w:r>
        <w:rPr>
          <w:rFonts w:ascii="Times New Roman" w:hAnsi="Times New Roman" w:eastAsia="Times New Roman"/>
          <w:sz w:val="25"/>
        </w:rPr>
        <w:t>Додаток 4</w:t>
        <w:br/>
        <w:t>до Порядку</w:t>
      </w:r>
    </w:p>
    <w:p>
      <w:pPr>
        <w:spacing w:before="0" w:after="40" w:line="240" w:lineRule="auto"/>
        <w:jc w:val="center"/>
      </w:pPr>
      <w:r>
        <w:rPr>
          <w:rFonts w:ascii="Times New Roman" w:hAnsi="Times New Roman" w:eastAsia="Times New Roman"/>
          <w:b/>
          <w:sz w:val="26"/>
        </w:rPr>
        <w:t>ІНФОРМАЦІЯ</w:t>
      </w:r>
    </w:p>
    <w:p>
      <w:pPr>
        <w:spacing w:before="0" w:after="40" w:line="240" w:lineRule="auto"/>
        <w:jc w:val="center"/>
      </w:pPr>
      <w:r>
        <w:rPr>
          <w:rFonts w:ascii="Times New Roman" w:hAnsi="Times New Roman" w:eastAsia="Times New Roman"/>
          <w:sz w:val="25"/>
        </w:rPr>
        <w:t>про адаптацію/модифікацію змісту навчальних</w:t>
        <w:br/>
        <w:t>предметів (інтегрованих курсів), очікувані результати</w:t>
        <w:br/>
        <w:t>навчання та особливості проведення оцінювання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94"/>
        <w:gridCol w:w="1894"/>
        <w:gridCol w:w="1894"/>
        <w:gridCol w:w="1894"/>
        <w:gridCol w:w="1894"/>
      </w:tblGrid>
      <w:tr>
        <w:trPr>
          <w:trHeight w:val="3543" w:hRule="atLeast"/>
          <w:cantSplit/>
        </w:trPr>
        <w:tc>
          <w:tcPr>
            <w:tcW w:type="dxa" w:w="1576"/>
            <w:vAlign w:val="top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space="0" w:color="000000"/>
              <w:bottom w:val="single" w:sz="5" w:space="0" w:color="000000"/>
              <w:start w:val="single" w:sz="5" w:space="0" w:color="000000"/>
              <w:end w:val="single" w:sz="5" w:space="0" w:color="000000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Навчальний</w:t>
              <w:br/>
              <w:t>предмет</w:t>
              <w:br/>
              <w:t>(інтегрова-</w:t>
              <w:br/>
              <w:t>ний курс)*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701"/>
            <w:vAlign w:val="top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space="0" w:color="000000"/>
              <w:bottom w:val="single" w:sz="5" w:space="0" w:color="000000"/>
              <w:end w:val="single" w:sz="5" w:space="0" w:color="000000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Адаптація/</w:t>
              <w:br/>
              <w:t>модифікація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2296"/>
            <w:vAlign w:val="top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space="0" w:color="000000"/>
              <w:bottom w:val="single" w:sz="5" w:space="0" w:color="000000"/>
              <w:end w:val="single" w:sz="5" w:space="0" w:color="000000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Очікувані</w:t>
              <w:br/>
              <w:t>результати</w:t>
              <w:br/>
              <w:t>навчання з</w:t>
              <w:br/>
              <w:t>урахуванням</w:t>
              <w:br/>
              <w:t>модифікації</w:t>
              <w:br/>
              <w:t>змісту</w:t>
              <w:br/>
              <w:t>навчального</w:t>
              <w:br/>
              <w:t>предмета</w:t>
              <w:br/>
              <w:t>(інтегрованого</w:t>
              <w:br/>
              <w:t>курсу)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701"/>
            <w:vAlign w:val="top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space="0" w:color="000000"/>
              <w:bottom w:val="single" w:sz="5" w:space="0" w:color="000000"/>
              <w:end w:val="single" w:sz="5" w:space="0" w:color="000000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Особливості</w:t>
              <w:br/>
              <w:t>проведення</w:t>
              <w:br/>
              <w:t>оцінювання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2166"/>
            <w:vAlign w:val="top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space="0" w:color="000000"/>
              <w:bottom w:val="single" w:sz="5" w:space="0" w:color="000000"/>
              <w:end w:val="single" w:sz="5" w:space="0" w:color="000000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Прізвище,</w:t>
              <w:br/>
              <w:t>власне ім’я,</w:t>
              <w:br/>
              <w:t>по батькові</w:t>
              <w:br/>
              <w:t>(за наявності)</w:t>
              <w:br/>
              <w:t>відповідального</w:t>
              <w:br/>
              <w:t>педагогічного</w:t>
              <w:br/>
              <w:t>працівника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before="200" w:after="20" w:line="240" w:lineRule="auto"/>
      </w:pPr>
      <w:r>
        <w:rPr>
          <w:rFonts w:ascii="Times New Roman" w:hAnsi="Times New Roman" w:eastAsia="Times New Roman"/>
          <w:sz w:val="23"/>
        </w:rPr>
        <w:t>___________</w:t>
      </w:r>
    </w:p>
    <w:p>
      <w:pPr>
        <w:spacing w:before="0" w:after="0" w:line="252" w:lineRule="auto"/>
      </w:pPr>
      <w:r>
        <w:rPr>
          <w:rFonts w:ascii="Times New Roman" w:hAnsi="Times New Roman" w:eastAsia="Times New Roman"/>
          <w:sz w:val="21"/>
        </w:rPr>
        <w:t>* Послідовність навчальних предметів (інтегрованих курсів) визначається річним навчальним планом класу або індивідуальним навчальним планом учня (за наявності).</w:t>
      </w:r>
    </w:p>
    <w:sectPr w:rsidR="00FC693F" w:rsidRPr="0006063C" w:rsidSect="00034616">
      <w:pgSz w:w="11906" w:h="16838"/>
      <w:pgMar w:top="935" w:right="1219" w:bottom="935" w:left="121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 — інформація про адаптацію/модифікацію змісту навчальних предметів</dc:title>
  <dc:subject>Бланк за постановою КМУ від 05.02.2026 № 129</dc:subject>
  <dc:creator>python-docx</dc:creator>
  <cp:keywords>Додаток 4, адаптація, модифікація, інклюзивне навчання, 2026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