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color w:val="1F4E79"/>
        </w:rPr>
        <w:t>Чекліст готовності кабінету інформатики</w:t>
        <w:br/>
        <w:t>до 2026/2027 навчального року</w:t>
      </w:r>
    </w:p>
    <w:p>
      <w:pPr>
        <w:jc w:val="center"/>
      </w:pPr>
      <w:r>
        <w:rPr>
          <w:i/>
          <w:color w:val="50565C"/>
          <w:sz w:val="18"/>
        </w:rPr>
        <w:t>Практична перевірка перед початком занять • станом на 29 серпня 2026 року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06"/>
        <w:gridCol w:w="2606"/>
        <w:gridCol w:w="2606"/>
        <w:gridCol w:w="2606"/>
      </w:tblGrid>
      <w:tr>
        <w:tc>
          <w:tcPr>
            <w:tcW w:type="dxa" w:w="1361"/>
            <w:shd w:fill="EAF2F8"/>
            <w:vAlign w:val="center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/>
            </w:pPr>
            <w:r>
              <w:rPr>
                <w:b/>
                <w:sz w:val="17"/>
              </w:rPr>
              <w:t>Заклад освіти</w:t>
            </w:r>
          </w:p>
        </w:tc>
        <w:tc>
          <w:tcPr>
            <w:tcW w:type="dxa" w:w="3402"/>
            <w:vAlign w:val="center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</w:t>
            </w:r>
          </w:p>
        </w:tc>
        <w:tc>
          <w:tcPr>
            <w:tcW w:type="dxa" w:w="1134"/>
            <w:shd w:fill="EAF2F8"/>
            <w:vAlign w:val="center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/>
            </w:pPr>
            <w:r>
              <w:rPr>
                <w:b/>
                <w:sz w:val="17"/>
              </w:rPr>
              <w:t>Кабінет №</w:t>
            </w:r>
          </w:p>
        </w:tc>
        <w:tc>
          <w:tcPr>
            <w:tcW w:type="dxa" w:w="3402"/>
            <w:vAlign w:val="center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</w:t>
            </w:r>
          </w:p>
        </w:tc>
      </w:tr>
      <w:tr>
        <w:tc>
          <w:tcPr>
            <w:tcW w:type="dxa" w:w="1361"/>
            <w:shd w:fill="EAF2F8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/>
            </w:pPr>
            <w:r>
              <w:rPr>
                <w:b/>
                <w:sz w:val="17"/>
              </w:rPr>
              <w:t>Відповідальна особа</w:t>
            </w:r>
          </w:p>
        </w:tc>
        <w:tc>
          <w:tcPr>
            <w:tcW w:type="dxa" w:w="3402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</w:t>
            </w:r>
          </w:p>
        </w:tc>
        <w:tc>
          <w:tcPr>
            <w:tcW w:type="dxa" w:w="1134"/>
            <w:shd w:fill="EAF2F8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/>
            </w:pPr>
            <w:r>
              <w:rPr>
                <w:b/>
                <w:sz w:val="17"/>
              </w:rPr>
              <w:t>Дата перевірки</w:t>
            </w:r>
          </w:p>
        </w:tc>
        <w:tc>
          <w:tcPr>
            <w:tcW w:type="dxa" w:w="3402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</w:t>
            </w:r>
          </w:p>
        </w:tc>
      </w:tr>
    </w:tbl>
    <w:p>
      <w:pPr>
        <w:spacing w:before="100" w:after="100"/>
      </w:pPr>
      <w:r>
        <w:rPr>
          <w:b/>
        </w:rPr>
        <w:t xml:space="preserve">Як користуватися: </w:t>
      </w:r>
      <w:r>
        <w:t>позначте виконані пункти. Якщо виявлена несправність або небезпека, відповідне робоче місце не використовують до її усунення. Чекліст не замінює локальні інструкції та накази закладу.</w:t>
      </w:r>
    </w:p>
    <w:p>
      <w:pPr>
        <w:pStyle w:val="Heading1"/>
        <w:spacing w:before="140" w:after="60"/>
        <w:pBdr>
          <w:top w:val="single" w:sz="18" w:space="1" w:color="1F4E79"/>
        </w:pBdr>
      </w:pPr>
      <w:r>
        <w:rPr>
          <w:color w:val="1F4E79"/>
        </w:rPr>
        <w:t>1. Документи та організація роботи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"/>
        <w:gridCol w:w="7597"/>
        <w:gridCol w:w="2041"/>
      </w:tblGrid>
      <w:tr>
        <w:trPr>
          <w:tblHeader w:val="true"/>
        </w:trPr>
        <w:tc>
          <w:tcPr>
            <w:tcW w:type="dxa" w:w="3475"/>
            <w:shd w:fill="D9EAF7"/>
            <w:vAlign w:val="center"/>
          </w:tcPr>
          <w:p>
            <w:pPr>
              <w:spacing w:after="0"/>
              <w:jc w:val="center"/>
            </w:pPr>
            <w:r>
              <w:rPr>
                <w:b/>
                <w:sz w:val="17"/>
              </w:rPr>
              <w:t>✓</w:t>
            </w:r>
          </w:p>
        </w:tc>
        <w:tc>
          <w:tcPr>
            <w:tcW w:type="dxa" w:w="3475"/>
            <w:shd w:fill="D9EAF7"/>
            <w:vAlign w:val="center"/>
          </w:tcPr>
          <w:p>
            <w:pPr>
              <w:spacing w:after="0"/>
              <w:jc w:val="left"/>
            </w:pPr>
            <w:r>
              <w:rPr>
                <w:b/>
                <w:sz w:val="17"/>
              </w:rPr>
              <w:t>Що перевірити</w:t>
            </w:r>
          </w:p>
        </w:tc>
        <w:tc>
          <w:tcPr>
            <w:tcW w:type="dxa" w:w="3475"/>
            <w:shd w:fill="D9EAF7"/>
            <w:vAlign w:val="center"/>
          </w:tcPr>
          <w:p>
            <w:pPr>
              <w:spacing w:after="0"/>
              <w:jc w:val="center"/>
            </w:pPr>
            <w:r>
              <w:rPr>
                <w:b/>
                <w:sz w:val="17"/>
              </w:rPr>
              <w:t>Примітка</w:t>
            </w:r>
          </w:p>
        </w:tc>
      </w:tr>
      <w:tr>
        <w:tc>
          <w:tcPr>
            <w:tcW w:type="dxa" w:w="51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/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type="dxa" w:w="7597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/>
            </w:pPr>
            <w:r>
              <w:rPr>
                <w:sz w:val="16"/>
              </w:rPr>
              <w:t>Перевірено, що в закладі є чинна локальна інструкція з безпеки під час роботи в кабінеті інформатики.</w:t>
            </w:r>
          </w:p>
        </w:tc>
        <w:tc>
          <w:tcPr>
            <w:tcW w:type="dxa" w:w="204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/>
            </w:pPr>
            <w:r>
              <w:rPr>
                <w:sz w:val="18"/>
              </w:rPr>
            </w:r>
          </w:p>
        </w:tc>
      </w:tr>
      <w:tr>
        <w:tc>
          <w:tcPr>
            <w:tcW w:type="dxa" w:w="51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/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type="dxa" w:w="7597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/>
            </w:pPr>
            <w:r>
              <w:rPr>
                <w:sz w:val="16"/>
              </w:rPr>
              <w:t>Підготовлено журнал реєстрації первинного, позапланового та цільового інструктажів з безпеки життєдіяльності.</w:t>
            </w:r>
          </w:p>
        </w:tc>
        <w:tc>
          <w:tcPr>
            <w:tcW w:type="dxa" w:w="204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/>
            </w:pPr>
            <w:r>
              <w:rPr>
                <w:sz w:val="18"/>
              </w:rPr>
            </w:r>
          </w:p>
        </w:tc>
      </w:tr>
      <w:tr>
        <w:tc>
          <w:tcPr>
            <w:tcW w:type="dxa" w:w="51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/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type="dxa" w:w="7597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/>
            </w:pPr>
            <w:r>
              <w:rPr>
                <w:sz w:val="16"/>
              </w:rPr>
              <w:t>Перевірено порядок оформлення акта-дозволу на проведення занять у кабінеті інформатики та інші локальні документи, визначені закладом.</w:t>
            </w:r>
          </w:p>
        </w:tc>
        <w:tc>
          <w:tcPr>
            <w:tcW w:type="dxa" w:w="204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/>
            </w:pPr>
            <w:r>
              <w:rPr>
                <w:sz w:val="18"/>
              </w:rPr>
            </w:r>
          </w:p>
        </w:tc>
      </w:tr>
      <w:tr>
        <w:tc>
          <w:tcPr>
            <w:tcW w:type="dxa" w:w="51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/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type="dxa" w:w="7597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/>
            </w:pPr>
            <w:r>
              <w:rPr>
                <w:sz w:val="16"/>
              </w:rPr>
              <w:t>Визначено, кому повідомляти про технічні несправності, пошкодження електрообладнання та інші небезпечні ситуації.</w:t>
            </w:r>
          </w:p>
        </w:tc>
        <w:tc>
          <w:tcPr>
            <w:tcW w:type="dxa" w:w="204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/>
            </w:pPr>
            <w:r>
              <w:rPr>
                <w:sz w:val="18"/>
              </w:rPr>
            </w:r>
          </w:p>
        </w:tc>
      </w:tr>
      <w:tr>
        <w:tc>
          <w:tcPr>
            <w:tcW w:type="dxa" w:w="51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/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type="dxa" w:w="7597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/>
            </w:pPr>
            <w:r>
              <w:rPr>
                <w:sz w:val="16"/>
              </w:rPr>
              <w:t>Учитель ознайомлений з планом евакуації, порядком виклику екстрених служб та локальними алгоритмами дій у надзвичайних ситуаціях.</w:t>
            </w:r>
          </w:p>
        </w:tc>
        <w:tc>
          <w:tcPr>
            <w:tcW w:type="dxa" w:w="204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/>
            </w:pPr>
            <w:r>
              <w:rPr>
                <w:sz w:val="18"/>
              </w:rPr>
            </w:r>
          </w:p>
        </w:tc>
      </w:tr>
    </w:tbl>
    <w:p>
      <w:pPr>
        <w:pStyle w:val="Heading1"/>
        <w:spacing w:before="140" w:after="60"/>
        <w:pBdr>
          <w:top w:val="single" w:sz="18" w:space="1" w:color="1F4E79"/>
        </w:pBdr>
      </w:pPr>
      <w:r>
        <w:rPr>
          <w:color w:val="1F4E79"/>
        </w:rPr>
        <w:t>2. Приміщення та електробезпека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"/>
        <w:gridCol w:w="7597"/>
        <w:gridCol w:w="2041"/>
      </w:tblGrid>
      <w:tr>
        <w:trPr>
          <w:tblHeader w:val="true"/>
        </w:trPr>
        <w:tc>
          <w:tcPr>
            <w:tcW w:type="dxa" w:w="3475"/>
            <w:shd w:fill="D9EAF7"/>
            <w:vAlign w:val="center"/>
          </w:tcPr>
          <w:p>
            <w:pPr>
              <w:spacing w:after="0"/>
              <w:jc w:val="center"/>
            </w:pPr>
            <w:r>
              <w:rPr>
                <w:b/>
                <w:sz w:val="17"/>
              </w:rPr>
              <w:t>✓</w:t>
            </w:r>
          </w:p>
        </w:tc>
        <w:tc>
          <w:tcPr>
            <w:tcW w:type="dxa" w:w="3475"/>
            <w:shd w:fill="D9EAF7"/>
            <w:vAlign w:val="center"/>
          </w:tcPr>
          <w:p>
            <w:pPr>
              <w:spacing w:after="0"/>
              <w:jc w:val="left"/>
            </w:pPr>
            <w:r>
              <w:rPr>
                <w:b/>
                <w:sz w:val="17"/>
              </w:rPr>
              <w:t>Що перевірити</w:t>
            </w:r>
          </w:p>
        </w:tc>
        <w:tc>
          <w:tcPr>
            <w:tcW w:type="dxa" w:w="3475"/>
            <w:shd w:fill="D9EAF7"/>
            <w:vAlign w:val="center"/>
          </w:tcPr>
          <w:p>
            <w:pPr>
              <w:spacing w:after="0"/>
              <w:jc w:val="center"/>
            </w:pPr>
            <w:r>
              <w:rPr>
                <w:b/>
                <w:sz w:val="17"/>
              </w:rPr>
              <w:t>Примітка</w:t>
            </w:r>
          </w:p>
        </w:tc>
      </w:tr>
      <w:tr>
        <w:tc>
          <w:tcPr>
            <w:tcW w:type="dxa" w:w="51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/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type="dxa" w:w="7597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/>
            </w:pPr>
            <w:r>
              <w:rPr>
                <w:sz w:val="16"/>
              </w:rPr>
              <w:t>Проходи, двері та евакуаційний вихід вільні; меблі й коробки не перешкоджають виходу.</w:t>
            </w:r>
          </w:p>
        </w:tc>
        <w:tc>
          <w:tcPr>
            <w:tcW w:type="dxa" w:w="204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/>
            </w:pPr>
            <w:r>
              <w:rPr>
                <w:sz w:val="18"/>
              </w:rPr>
            </w:r>
          </w:p>
        </w:tc>
      </w:tr>
      <w:tr>
        <w:tc>
          <w:tcPr>
            <w:tcW w:type="dxa" w:w="51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/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type="dxa" w:w="7597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/>
            </w:pPr>
            <w:r>
              <w:rPr>
                <w:sz w:val="16"/>
              </w:rPr>
              <w:t>Розетки, вилки, подовжувачі та кабелі не мають видимих пошкоджень, оголених частин, слідів перегрівання або оплавлення.</w:t>
            </w:r>
          </w:p>
        </w:tc>
        <w:tc>
          <w:tcPr>
            <w:tcW w:type="dxa" w:w="204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/>
            </w:pPr>
            <w:r>
              <w:rPr>
                <w:sz w:val="18"/>
              </w:rPr>
            </w:r>
          </w:p>
        </w:tc>
      </w:tr>
      <w:tr>
        <w:tc>
          <w:tcPr>
            <w:tcW w:type="dxa" w:w="51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/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type="dxa" w:w="7597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/>
            </w:pPr>
            <w:r>
              <w:rPr>
                <w:sz w:val="16"/>
              </w:rPr>
              <w:t>Кабелі розташовані так, щоб учні не могли зачепитися за них або випадково висмикнути підключення.</w:t>
            </w:r>
          </w:p>
        </w:tc>
        <w:tc>
          <w:tcPr>
            <w:tcW w:type="dxa" w:w="204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/>
            </w:pPr>
            <w:r>
              <w:rPr>
                <w:sz w:val="18"/>
              </w:rPr>
            </w:r>
          </w:p>
        </w:tc>
      </w:tr>
      <w:tr>
        <w:tc>
          <w:tcPr>
            <w:tcW w:type="dxa" w:w="51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/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type="dxa" w:w="7597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/>
            </w:pPr>
            <w:r>
              <w:rPr>
                <w:sz w:val="16"/>
              </w:rPr>
              <w:t>Немає рідини, протікань чи інших джерел вологи біля електрообладнання.</w:t>
            </w:r>
          </w:p>
        </w:tc>
        <w:tc>
          <w:tcPr>
            <w:tcW w:type="dxa" w:w="204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/>
            </w:pPr>
            <w:r>
              <w:rPr>
                <w:sz w:val="18"/>
              </w:rPr>
            </w:r>
          </w:p>
        </w:tc>
      </w:tr>
      <w:tr>
        <w:tc>
          <w:tcPr>
            <w:tcW w:type="dxa" w:w="51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/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type="dxa" w:w="7597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/>
            </w:pPr>
            <w:r>
              <w:rPr>
                <w:sz w:val="16"/>
              </w:rPr>
              <w:t>Немає запаху горілої ізоляції, диму, іскріння або іншої ознаки небезпечної несправності.</w:t>
            </w:r>
          </w:p>
        </w:tc>
        <w:tc>
          <w:tcPr>
            <w:tcW w:type="dxa" w:w="204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/>
            </w:pPr>
            <w:r>
              <w:rPr>
                <w:sz w:val="18"/>
              </w:rPr>
            </w:r>
          </w:p>
        </w:tc>
      </w:tr>
      <w:tr>
        <w:tc>
          <w:tcPr>
            <w:tcW w:type="dxa" w:w="51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/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type="dxa" w:w="7597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/>
            </w:pPr>
            <w:r>
              <w:rPr>
                <w:sz w:val="16"/>
              </w:rPr>
              <w:t>Учитель не планує самостійно ремонтувати електрообладнання під напругою; для ремонту визначений відповідальний фахівець.</w:t>
            </w:r>
          </w:p>
        </w:tc>
        <w:tc>
          <w:tcPr>
            <w:tcW w:type="dxa" w:w="204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/>
            </w:pPr>
            <w:r>
              <w:rPr>
                <w:sz w:val="18"/>
              </w:rPr>
            </w:r>
          </w:p>
        </w:tc>
      </w:tr>
    </w:tbl>
    <w:p>
      <w:pPr>
        <w:pStyle w:val="Heading1"/>
        <w:spacing w:before="140" w:after="60"/>
        <w:pBdr>
          <w:top w:val="single" w:sz="18" w:space="1" w:color="1F4E79"/>
        </w:pBdr>
      </w:pPr>
      <w:r>
        <w:rPr>
          <w:color w:val="1F4E79"/>
        </w:rPr>
        <w:t>3. Комп’ютери та робочі місця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"/>
        <w:gridCol w:w="7597"/>
        <w:gridCol w:w="2041"/>
      </w:tblGrid>
      <w:tr>
        <w:trPr>
          <w:tblHeader w:val="true"/>
        </w:trPr>
        <w:tc>
          <w:tcPr>
            <w:tcW w:type="dxa" w:w="3475"/>
            <w:shd w:fill="D9EAF7"/>
            <w:vAlign w:val="center"/>
          </w:tcPr>
          <w:p>
            <w:pPr>
              <w:spacing w:after="0"/>
              <w:jc w:val="center"/>
            </w:pPr>
            <w:r>
              <w:rPr>
                <w:b/>
                <w:sz w:val="17"/>
              </w:rPr>
              <w:t>✓</w:t>
            </w:r>
          </w:p>
        </w:tc>
        <w:tc>
          <w:tcPr>
            <w:tcW w:type="dxa" w:w="3475"/>
            <w:shd w:fill="D9EAF7"/>
            <w:vAlign w:val="center"/>
          </w:tcPr>
          <w:p>
            <w:pPr>
              <w:spacing w:after="0"/>
              <w:jc w:val="left"/>
            </w:pPr>
            <w:r>
              <w:rPr>
                <w:b/>
                <w:sz w:val="17"/>
              </w:rPr>
              <w:t>Що перевірити</w:t>
            </w:r>
          </w:p>
        </w:tc>
        <w:tc>
          <w:tcPr>
            <w:tcW w:type="dxa" w:w="3475"/>
            <w:shd w:fill="D9EAF7"/>
            <w:vAlign w:val="center"/>
          </w:tcPr>
          <w:p>
            <w:pPr>
              <w:spacing w:after="0"/>
              <w:jc w:val="center"/>
            </w:pPr>
            <w:r>
              <w:rPr>
                <w:b/>
                <w:sz w:val="17"/>
              </w:rPr>
              <w:t>Примітка</w:t>
            </w:r>
          </w:p>
        </w:tc>
      </w:tr>
      <w:tr>
        <w:tc>
          <w:tcPr>
            <w:tcW w:type="dxa" w:w="51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/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type="dxa" w:w="7597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/>
            </w:pPr>
            <w:r>
              <w:rPr>
                <w:sz w:val="16"/>
              </w:rPr>
              <w:t>Кожне робоче місце, яке планується використовувати, візуально справне та стійко встановлене.</w:t>
            </w:r>
          </w:p>
        </w:tc>
        <w:tc>
          <w:tcPr>
            <w:tcW w:type="dxa" w:w="204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/>
            </w:pPr>
            <w:r>
              <w:rPr>
                <w:sz w:val="18"/>
              </w:rPr>
            </w:r>
          </w:p>
        </w:tc>
      </w:tr>
      <w:tr>
        <w:tc>
          <w:tcPr>
            <w:tcW w:type="dxa" w:w="51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/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type="dxa" w:w="7597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/>
            </w:pPr>
            <w:r>
              <w:rPr>
                <w:sz w:val="16"/>
              </w:rPr>
              <w:t>Під час одночасної роботи за одним комп’ютером працюватиме лише один учень.</w:t>
            </w:r>
          </w:p>
        </w:tc>
        <w:tc>
          <w:tcPr>
            <w:tcW w:type="dxa" w:w="204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/>
            </w:pPr>
            <w:r>
              <w:rPr>
                <w:sz w:val="18"/>
              </w:rPr>
            </w:r>
          </w:p>
        </w:tc>
      </w:tr>
      <w:tr>
        <w:tc>
          <w:tcPr>
            <w:tcW w:type="dxa" w:w="51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/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type="dxa" w:w="7597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/>
            </w:pPr>
            <w:r>
              <w:rPr>
                <w:sz w:val="16"/>
              </w:rPr>
              <w:t>Екран розташовано так, щоб верхня половина була приблизно на рівні очей учня.</w:t>
            </w:r>
          </w:p>
        </w:tc>
        <w:tc>
          <w:tcPr>
            <w:tcW w:type="dxa" w:w="204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/>
            </w:pPr>
            <w:r>
              <w:rPr>
                <w:sz w:val="18"/>
              </w:rPr>
            </w:r>
          </w:p>
        </w:tc>
      </w:tr>
      <w:tr>
        <w:tc>
          <w:tcPr>
            <w:tcW w:type="dxa" w:w="51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/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type="dxa" w:w="7597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/>
            </w:pPr>
            <w:r>
              <w:rPr>
                <w:sz w:val="16"/>
              </w:rPr>
              <w:t>Передбачено відстань від очей до екрана близько 1,5 діагоналі конкретного дисплея.</w:t>
            </w:r>
          </w:p>
        </w:tc>
        <w:tc>
          <w:tcPr>
            <w:tcW w:type="dxa" w:w="204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/>
            </w:pPr>
            <w:r>
              <w:rPr>
                <w:sz w:val="18"/>
              </w:rPr>
            </w:r>
          </w:p>
        </w:tc>
      </w:tr>
      <w:tr>
        <w:tc>
          <w:tcPr>
            <w:tcW w:type="dxa" w:w="51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/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type="dxa" w:w="7597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/>
            </w:pPr>
            <w:r>
              <w:rPr>
                <w:sz w:val="16"/>
              </w:rPr>
              <w:t>Для ноутбуків у 1–7 класах передбачено відокремлену клавіатуру; для 1–11(12) класів — відокремлену мишу.</w:t>
            </w:r>
          </w:p>
        </w:tc>
        <w:tc>
          <w:tcPr>
            <w:tcW w:type="dxa" w:w="204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/>
            </w:pPr>
            <w:r>
              <w:rPr>
                <w:sz w:val="18"/>
              </w:rPr>
            </w:r>
          </w:p>
        </w:tc>
      </w:tr>
      <w:tr>
        <w:tc>
          <w:tcPr>
            <w:tcW w:type="dxa" w:w="51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/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type="dxa" w:w="7597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/>
            </w:pPr>
            <w:r>
              <w:rPr>
                <w:sz w:val="16"/>
              </w:rPr>
              <w:t>Для ноутбуків, що використовуються учнями, діагональ екрана не менше 14 дюймів; для стаціонарного монітора — не менше 15 дюймів.</w:t>
            </w:r>
          </w:p>
        </w:tc>
        <w:tc>
          <w:tcPr>
            <w:tcW w:type="dxa" w:w="204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/>
            </w:pPr>
            <w:r>
              <w:rPr>
                <w:sz w:val="18"/>
              </w:rPr>
            </w:r>
          </w:p>
        </w:tc>
      </w:tr>
    </w:tbl>
    <w:p>
      <w:pPr>
        <w:pStyle w:val="Heading1"/>
        <w:spacing w:before="140" w:after="60"/>
        <w:pBdr>
          <w:top w:val="single" w:sz="18" w:space="1" w:color="1F4E79"/>
        </w:pBdr>
      </w:pPr>
      <w:r>
        <w:rPr>
          <w:color w:val="1F4E79"/>
        </w:rPr>
        <w:t>4. Санітарні умови та організація уроку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"/>
        <w:gridCol w:w="7597"/>
        <w:gridCol w:w="2041"/>
      </w:tblGrid>
      <w:tr>
        <w:trPr>
          <w:tblHeader w:val="true"/>
        </w:trPr>
        <w:tc>
          <w:tcPr>
            <w:tcW w:type="dxa" w:w="3475"/>
            <w:shd w:fill="D9EAF7"/>
            <w:vAlign w:val="center"/>
          </w:tcPr>
          <w:p>
            <w:pPr>
              <w:spacing w:after="0"/>
              <w:jc w:val="center"/>
            </w:pPr>
            <w:r>
              <w:rPr>
                <w:b/>
                <w:sz w:val="17"/>
              </w:rPr>
              <w:t>✓</w:t>
            </w:r>
          </w:p>
        </w:tc>
        <w:tc>
          <w:tcPr>
            <w:tcW w:type="dxa" w:w="3475"/>
            <w:shd w:fill="D9EAF7"/>
            <w:vAlign w:val="center"/>
          </w:tcPr>
          <w:p>
            <w:pPr>
              <w:spacing w:after="0"/>
              <w:jc w:val="left"/>
            </w:pPr>
            <w:r>
              <w:rPr>
                <w:b/>
                <w:sz w:val="17"/>
              </w:rPr>
              <w:t>Що перевірити</w:t>
            </w:r>
          </w:p>
        </w:tc>
        <w:tc>
          <w:tcPr>
            <w:tcW w:type="dxa" w:w="3475"/>
            <w:shd w:fill="D9EAF7"/>
            <w:vAlign w:val="center"/>
          </w:tcPr>
          <w:p>
            <w:pPr>
              <w:spacing w:after="0"/>
              <w:jc w:val="center"/>
            </w:pPr>
            <w:r>
              <w:rPr>
                <w:b/>
                <w:sz w:val="17"/>
              </w:rPr>
              <w:t>Примітка</w:t>
            </w:r>
          </w:p>
        </w:tc>
      </w:tr>
      <w:tr>
        <w:tc>
          <w:tcPr>
            <w:tcW w:type="dxa" w:w="51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/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type="dxa" w:w="7597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/>
            </w:pPr>
            <w:r>
              <w:rPr>
                <w:sz w:val="16"/>
              </w:rPr>
              <w:t>Робочі місця достатньо освітлені; на екранах немає сильних відблисків, що ускладнюють роботу.</w:t>
            </w:r>
          </w:p>
        </w:tc>
        <w:tc>
          <w:tcPr>
            <w:tcW w:type="dxa" w:w="204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/>
            </w:pPr>
            <w:r>
              <w:rPr>
                <w:sz w:val="18"/>
              </w:rPr>
            </w:r>
          </w:p>
        </w:tc>
      </w:tr>
      <w:tr>
        <w:tc>
          <w:tcPr>
            <w:tcW w:type="dxa" w:w="51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/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type="dxa" w:w="7597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/>
            </w:pPr>
            <w:r>
              <w:rPr>
                <w:sz w:val="16"/>
              </w:rPr>
              <w:t>Підлога та робочі поверхні придатні до регулярного вологого прибирання; у кабінеті підтримується порядок.</w:t>
            </w:r>
          </w:p>
        </w:tc>
        <w:tc>
          <w:tcPr>
            <w:tcW w:type="dxa" w:w="204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/>
            </w:pPr>
            <w:r>
              <w:rPr>
                <w:sz w:val="18"/>
              </w:rPr>
            </w:r>
          </w:p>
        </w:tc>
      </w:tr>
      <w:tr>
        <w:tc>
          <w:tcPr>
            <w:tcW w:type="dxa" w:w="51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/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type="dxa" w:w="7597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/>
            </w:pPr>
            <w:r>
              <w:rPr>
                <w:sz w:val="16"/>
              </w:rPr>
              <w:t>План уроків враховує максимальну безперервну роботу з технічними засобами: 1 клас — до 10 хв; 2–4 — до 15; 5–7 — до 20; 8–9 — 20–25; 10–11(12) — відповідно до Санітарного регламенту.</w:t>
            </w:r>
          </w:p>
        </w:tc>
        <w:tc>
          <w:tcPr>
            <w:tcW w:type="dxa" w:w="204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/>
            </w:pPr>
            <w:r>
              <w:rPr>
                <w:sz w:val="18"/>
              </w:rPr>
            </w:r>
          </w:p>
        </w:tc>
      </w:tr>
      <w:tr>
        <w:tc>
          <w:tcPr>
            <w:tcW w:type="dxa" w:w="51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/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type="dxa" w:w="7597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/>
            </w:pPr>
            <w:r>
              <w:rPr>
                <w:sz w:val="16"/>
              </w:rPr>
              <w:t>Передбачено чергування роботи з екраном з іншими видами навчальної діяльності та вправи для профілактики зорової і статичної втоми.</w:t>
            </w:r>
          </w:p>
        </w:tc>
        <w:tc>
          <w:tcPr>
            <w:tcW w:type="dxa" w:w="204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/>
            </w:pPr>
            <w:r>
              <w:rPr>
                <w:sz w:val="18"/>
              </w:rPr>
            </w:r>
          </w:p>
        </w:tc>
      </w:tr>
    </w:tbl>
    <w:p>
      <w:pPr>
        <w:pStyle w:val="Heading1"/>
        <w:spacing w:before="140" w:after="60"/>
        <w:pBdr>
          <w:top w:val="single" w:sz="18" w:space="1" w:color="1F4E79"/>
        </w:pBdr>
      </w:pPr>
      <w:r>
        <w:rPr>
          <w:color w:val="1F4E79"/>
        </w:rPr>
        <w:t>5. Пожежна безпека та аварійні ситуації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"/>
        <w:gridCol w:w="7597"/>
        <w:gridCol w:w="2041"/>
      </w:tblGrid>
      <w:tr>
        <w:trPr>
          <w:tblHeader w:val="true"/>
        </w:trPr>
        <w:tc>
          <w:tcPr>
            <w:tcW w:type="dxa" w:w="3475"/>
            <w:shd w:fill="D9EAF7"/>
            <w:vAlign w:val="center"/>
          </w:tcPr>
          <w:p>
            <w:pPr>
              <w:spacing w:after="0"/>
              <w:jc w:val="center"/>
            </w:pPr>
            <w:r>
              <w:rPr>
                <w:b/>
                <w:sz w:val="17"/>
              </w:rPr>
              <w:t>✓</w:t>
            </w:r>
          </w:p>
        </w:tc>
        <w:tc>
          <w:tcPr>
            <w:tcW w:type="dxa" w:w="3475"/>
            <w:shd w:fill="D9EAF7"/>
            <w:vAlign w:val="center"/>
          </w:tcPr>
          <w:p>
            <w:pPr>
              <w:spacing w:after="0"/>
              <w:jc w:val="left"/>
            </w:pPr>
            <w:r>
              <w:rPr>
                <w:b/>
                <w:sz w:val="17"/>
              </w:rPr>
              <w:t>Що перевірити</w:t>
            </w:r>
          </w:p>
        </w:tc>
        <w:tc>
          <w:tcPr>
            <w:tcW w:type="dxa" w:w="3475"/>
            <w:shd w:fill="D9EAF7"/>
            <w:vAlign w:val="center"/>
          </w:tcPr>
          <w:p>
            <w:pPr>
              <w:spacing w:after="0"/>
              <w:jc w:val="center"/>
            </w:pPr>
            <w:r>
              <w:rPr>
                <w:b/>
                <w:sz w:val="17"/>
              </w:rPr>
              <w:t>Примітка</w:t>
            </w:r>
          </w:p>
        </w:tc>
      </w:tr>
      <w:tr>
        <w:tc>
          <w:tcPr>
            <w:tcW w:type="dxa" w:w="51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/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type="dxa" w:w="7597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/>
            </w:pPr>
            <w:r>
              <w:rPr>
                <w:sz w:val="16"/>
              </w:rPr>
              <w:t>Учитель знає місце розташування вогнегасника та не має перешкод для доступу до нього.</w:t>
            </w:r>
          </w:p>
        </w:tc>
        <w:tc>
          <w:tcPr>
            <w:tcW w:type="dxa" w:w="204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/>
            </w:pPr>
            <w:r>
              <w:rPr>
                <w:sz w:val="18"/>
              </w:rPr>
            </w:r>
          </w:p>
        </w:tc>
      </w:tr>
      <w:tr>
        <w:tc>
          <w:tcPr>
            <w:tcW w:type="dxa" w:w="51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/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type="dxa" w:w="7597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/>
            </w:pPr>
            <w:r>
              <w:rPr>
                <w:sz w:val="16"/>
              </w:rPr>
              <w:t>Перевірено, що засіб пожежогасіння придатний для типів обладнання, які є в кабінеті, та має чинне обслуговування відповідно до порядку закладу.</w:t>
            </w:r>
          </w:p>
        </w:tc>
        <w:tc>
          <w:tcPr>
            <w:tcW w:type="dxa" w:w="204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/>
            </w:pPr>
            <w:r>
              <w:rPr>
                <w:sz w:val="18"/>
              </w:rPr>
            </w:r>
          </w:p>
        </w:tc>
      </w:tr>
      <w:tr>
        <w:tc>
          <w:tcPr>
            <w:tcW w:type="dxa" w:w="51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/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type="dxa" w:w="7597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/>
            </w:pPr>
            <w:r>
              <w:rPr>
                <w:sz w:val="16"/>
              </w:rPr>
              <w:t>Учням буде пояснено: при димі, іскрінні, запаху горілого або пошкодженні кабелю не торкатися обладнання та негайно повідомити вчителя.</w:t>
            </w:r>
          </w:p>
        </w:tc>
        <w:tc>
          <w:tcPr>
            <w:tcW w:type="dxa" w:w="204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/>
            </w:pPr>
            <w:r>
              <w:rPr>
                <w:sz w:val="18"/>
              </w:rPr>
            </w:r>
          </w:p>
        </w:tc>
      </w:tr>
      <w:tr>
        <w:tc>
          <w:tcPr>
            <w:tcW w:type="dxa" w:w="51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/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type="dxa" w:w="7597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/>
            </w:pPr>
            <w:r>
              <w:rPr>
                <w:sz w:val="16"/>
              </w:rPr>
              <w:t>У разі пожежі пріоритет — евакуація людей та виклик 101; рятувати техніку ціною ризику для життя не можна.</w:t>
            </w:r>
          </w:p>
        </w:tc>
        <w:tc>
          <w:tcPr>
            <w:tcW w:type="dxa" w:w="204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/>
            </w:pPr>
            <w:r>
              <w:rPr>
                <w:sz w:val="18"/>
              </w:rPr>
            </w:r>
          </w:p>
        </w:tc>
      </w:tr>
      <w:tr>
        <w:tc>
          <w:tcPr>
            <w:tcW w:type="dxa" w:w="51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/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type="dxa" w:w="7597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/>
            </w:pPr>
            <w:r>
              <w:rPr>
                <w:sz w:val="16"/>
              </w:rPr>
              <w:t>У разі підозри на ураження електричним струмом заборонено торкатися потерпілого, поки дія струму не припинена безпечним способом; викликають 103.</w:t>
            </w:r>
          </w:p>
        </w:tc>
        <w:tc>
          <w:tcPr>
            <w:tcW w:type="dxa" w:w="204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/>
            </w:pPr>
            <w:r>
              <w:rPr>
                <w:sz w:val="18"/>
              </w:rPr>
            </w:r>
          </w:p>
        </w:tc>
      </w:tr>
    </w:tbl>
    <w:p>
      <w:pPr>
        <w:pStyle w:val="Heading1"/>
        <w:spacing w:before="140" w:after="60"/>
        <w:pBdr>
          <w:top w:val="single" w:sz="18" w:space="1" w:color="1F4E79"/>
        </w:pBdr>
      </w:pPr>
      <w:r>
        <w:rPr>
          <w:color w:val="1F4E79"/>
        </w:rPr>
        <w:t>6. Інструктажі перед початком занять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"/>
        <w:gridCol w:w="7597"/>
        <w:gridCol w:w="2041"/>
      </w:tblGrid>
      <w:tr>
        <w:trPr>
          <w:tblHeader w:val="true"/>
        </w:trPr>
        <w:tc>
          <w:tcPr>
            <w:tcW w:type="dxa" w:w="3475"/>
            <w:shd w:fill="D9EAF7"/>
            <w:vAlign w:val="center"/>
          </w:tcPr>
          <w:p>
            <w:pPr>
              <w:spacing w:after="0"/>
              <w:jc w:val="center"/>
            </w:pPr>
            <w:r>
              <w:rPr>
                <w:b/>
                <w:sz w:val="17"/>
              </w:rPr>
              <w:t>✓</w:t>
            </w:r>
          </w:p>
        </w:tc>
        <w:tc>
          <w:tcPr>
            <w:tcW w:type="dxa" w:w="3475"/>
            <w:shd w:fill="D9EAF7"/>
            <w:vAlign w:val="center"/>
          </w:tcPr>
          <w:p>
            <w:pPr>
              <w:spacing w:after="0"/>
              <w:jc w:val="left"/>
            </w:pPr>
            <w:r>
              <w:rPr>
                <w:b/>
                <w:sz w:val="17"/>
              </w:rPr>
              <w:t>Що перевірити</w:t>
            </w:r>
          </w:p>
        </w:tc>
        <w:tc>
          <w:tcPr>
            <w:tcW w:type="dxa" w:w="3475"/>
            <w:shd w:fill="D9EAF7"/>
            <w:vAlign w:val="center"/>
          </w:tcPr>
          <w:p>
            <w:pPr>
              <w:spacing w:after="0"/>
              <w:jc w:val="center"/>
            </w:pPr>
            <w:r>
              <w:rPr>
                <w:b/>
                <w:sz w:val="17"/>
              </w:rPr>
              <w:t>Примітка</w:t>
            </w:r>
          </w:p>
        </w:tc>
      </w:tr>
      <w:tr>
        <w:tc>
          <w:tcPr>
            <w:tcW w:type="dxa" w:w="51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/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type="dxa" w:w="7597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/>
            </w:pPr>
            <w:r>
              <w:rPr>
                <w:sz w:val="16"/>
              </w:rPr>
              <w:t>На початку навчального року організовано загальний вступний інструктаж у порядку, визначеному закладом.</w:t>
            </w:r>
          </w:p>
        </w:tc>
        <w:tc>
          <w:tcPr>
            <w:tcW w:type="dxa" w:w="204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/>
            </w:pPr>
            <w:r>
              <w:rPr>
                <w:sz w:val="18"/>
              </w:rPr>
            </w:r>
          </w:p>
        </w:tc>
      </w:tr>
      <w:tr>
        <w:tc>
          <w:tcPr>
            <w:tcW w:type="dxa" w:w="51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/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type="dxa" w:w="7597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/>
            </w:pPr>
            <w:r>
              <w:rPr>
                <w:sz w:val="16"/>
              </w:rPr>
              <w:t>Перед початком занять у кабінеті інформатики заплановано первинний інструктаж за затвердженою інструкцією.</w:t>
            </w:r>
          </w:p>
        </w:tc>
        <w:tc>
          <w:tcPr>
            <w:tcW w:type="dxa" w:w="204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/>
            </w:pPr>
            <w:r>
              <w:rPr>
                <w:sz w:val="18"/>
              </w:rPr>
            </w:r>
          </w:p>
        </w:tc>
      </w:tr>
      <w:tr>
        <w:tc>
          <w:tcPr>
            <w:tcW w:type="dxa" w:w="51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/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type="dxa" w:w="7597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/>
            </w:pPr>
            <w:r>
              <w:rPr>
                <w:sz w:val="16"/>
              </w:rPr>
              <w:t>Первинний інструктаж у кабінеті буде зареєстрований у журналі первинного, позапланового та цільового інструктажів.</w:t>
            </w:r>
          </w:p>
        </w:tc>
        <w:tc>
          <w:tcPr>
            <w:tcW w:type="dxa" w:w="204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/>
            </w:pPr>
            <w:r>
              <w:rPr>
                <w:sz w:val="18"/>
              </w:rPr>
            </w:r>
          </w:p>
        </w:tc>
      </w:tr>
      <w:tr>
        <w:tc>
          <w:tcPr>
            <w:tcW w:type="dxa" w:w="51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/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type="dxa" w:w="7597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/>
            </w:pPr>
            <w:r>
              <w:rPr>
                <w:sz w:val="16"/>
              </w:rPr>
              <w:t>Учнів попереджено про правила роботи з кабелями, розетками, напоями, несправним обладнанням та про порядок повідомлення вчителя.</w:t>
            </w:r>
          </w:p>
        </w:tc>
        <w:tc>
          <w:tcPr>
            <w:tcW w:type="dxa" w:w="204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/>
            </w:pPr>
            <w:r>
              <w:rPr>
                <w:sz w:val="18"/>
              </w:rPr>
            </w:r>
          </w:p>
        </w:tc>
      </w:tr>
      <w:tr>
        <w:tc>
          <w:tcPr>
            <w:tcW w:type="dxa" w:w="51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/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type="dxa" w:w="7597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/>
            </w:pPr>
            <w:r>
              <w:rPr>
                <w:sz w:val="16"/>
              </w:rPr>
              <w:t>Враховано, що учні ставлять власний підпис у журналі інструктажів починаючи з 9 класу.</w:t>
            </w:r>
          </w:p>
        </w:tc>
        <w:tc>
          <w:tcPr>
            <w:tcW w:type="dxa" w:w="204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/>
            </w:pPr>
            <w:r>
              <w:rPr>
                <w:sz w:val="18"/>
              </w:rPr>
            </w:r>
          </w:p>
        </w:tc>
      </w:tr>
      <w:tr>
        <w:tc>
          <w:tcPr>
            <w:tcW w:type="dxa" w:w="51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/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type="dxa" w:w="7597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/>
            </w:pPr>
            <w:r>
              <w:rPr>
                <w:sz w:val="16"/>
              </w:rPr>
              <w:t>Перед практичними/лабораторними роботами інструктаж реєструватиметься у порядку, передбаченому для конкретної роботи та класного журналу.</w:t>
            </w:r>
          </w:p>
        </w:tc>
        <w:tc>
          <w:tcPr>
            <w:tcW w:type="dxa" w:w="204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/>
            </w:pPr>
            <w:r>
              <w:rPr>
                <w:sz w:val="18"/>
              </w:rPr>
            </w:r>
          </w:p>
        </w:tc>
      </w:tr>
    </w:tbl>
    <w:p>
      <w:pPr>
        <w:pStyle w:val="Heading1"/>
        <w:spacing w:before="160" w:after="60"/>
        <w:pBdr>
          <w:top w:val="single" w:sz="18" w:space="1" w:color="1F4E79"/>
        </w:pBdr>
      </w:pPr>
      <w:r>
        <w:rPr>
          <w:color w:val="1F4E79"/>
        </w:rPr>
        <w:t>Підсумок перевірки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2835"/>
            <w:shd w:fill="EAF2F8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b/>
                <w:sz w:val="17"/>
              </w:rPr>
              <w:t>Стан кабінету</w:t>
            </w:r>
          </w:p>
        </w:tc>
        <w:tc>
          <w:tcPr>
            <w:tcW w:type="dxa" w:w="7313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b w:val="0"/>
                <w:sz w:val="17"/>
              </w:rPr>
              <w:t>☐ готовий до занять     ☐ потрібне усунення недоліків</w:t>
            </w:r>
          </w:p>
        </w:tc>
      </w:tr>
      <w:tr>
        <w:tc>
          <w:tcPr>
            <w:tcW w:type="dxa" w:w="2835"/>
            <w:shd w:fill="EAF2F8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b/>
                <w:sz w:val="17"/>
              </w:rPr>
              <w:t>Недоліки / що потрібно зробити</w:t>
            </w:r>
          </w:p>
        </w:tc>
        <w:tc>
          <w:tcPr>
            <w:tcW w:type="dxa" w:w="7313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b w:val="0"/>
                <w:sz w:val="17"/>
              </w:rPr>
              <w:br/>
              <w:br/>
            </w:r>
          </w:p>
        </w:tc>
      </w:tr>
      <w:tr>
        <w:tc>
          <w:tcPr>
            <w:tcW w:type="dxa" w:w="2835"/>
            <w:shd w:fill="EAF2F8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b/>
                <w:sz w:val="17"/>
              </w:rPr>
              <w:t>Відповідальна особа / строк</w:t>
            </w:r>
          </w:p>
        </w:tc>
        <w:tc>
          <w:tcPr>
            <w:tcW w:type="dxa" w:w="7313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b w:val="0"/>
                <w:sz w:val="17"/>
              </w:rPr>
              <w:br/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DejaVu Sans" w:hAnsi="DejaVu Sans"/>
        <w:color w:val="646464"/>
        <w:sz w:val="15"/>
      </w:rPr>
      <w:t>Освітній • osvitnii.net.ua • матеріал актуалізовано 29.08.2026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DejaVu Sans" w:hAnsi="DejaVu Sans"/>
        <w:b/>
        <w:color w:val="50565C"/>
        <w:sz w:val="16"/>
      </w:rPr>
      <w:t>ОСВІТНІЙ • osvitnii.net.ua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ejaVu Sans" w:hAnsi="DejaVu Sans" w:eastAsia="DejaVu San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DejaVu Sans" w:hAnsi="DejaVu Sans" w:eastAsia="DejaVu Sans"/>
      <w:b/>
      <w:bCs/>
      <w:color w:val="365F91" w:themeColor="accent1" w:themeShade="B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 w:eastAsia="DejaVu Sans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 w:eastAsia="DejaVu Sans"/>
      <w:b/>
      <w:color w:val="17365D" w:themeColor="text2" w:themeShade="BF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Чекліст готовності кабінету інформатики до 2026/2027 навчального року</dc:title>
  <dc:subject>Безпека в кабінеті інформатики</dc:subject>
  <dc:creator>Освітній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